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ind w:firstLine="3000" w:firstLineChars="996"/>
        <w:rPr>
          <w:rFonts w:hint="eastAsia" w:cs="宋体"/>
          <w:b/>
          <w:bCs/>
          <w:color w:val="000000" w:themeColor="text1"/>
          <w:sz w:val="30"/>
          <w:szCs w:val="30"/>
        </w:rPr>
      </w:pPr>
      <w:r>
        <w:rPr>
          <w:rFonts w:hint="eastAsia" w:ascii="宋体e眠副浡渀." w:eastAsia="宋体e眠副浡渀." w:cs="宋体e眠副浡渀."/>
          <w:b/>
          <w:color w:val="000000" w:themeColor="text1"/>
          <w:sz w:val="30"/>
          <w:szCs w:val="30"/>
        </w:rPr>
        <w:t xml:space="preserve">现 场 评 估 </w:t>
      </w:r>
      <w:r>
        <w:rPr>
          <w:rFonts w:hint="eastAsia" w:cs="宋体"/>
          <w:b/>
          <w:bCs/>
          <w:color w:val="000000" w:themeColor="text1"/>
          <w:sz w:val="30"/>
          <w:szCs w:val="30"/>
        </w:rPr>
        <w:t>通 知 书</w:t>
      </w:r>
    </w:p>
    <w:p>
      <w:pPr>
        <w:spacing w:before="0" w:after="0" w:line="360" w:lineRule="auto"/>
        <w:rPr>
          <w:rFonts w:hint="eastAsia" w:eastAsia="宋体" w:cs="宋体"/>
          <w:b w:val="0"/>
          <w:bCs w:val="0"/>
          <w:color w:val="000000" w:themeColor="text1"/>
          <w:sz w:val="30"/>
          <w:szCs w:val="30"/>
          <w:u w:val="single"/>
          <w:lang w:val="en-US" w:eastAsia="zh-CN"/>
        </w:rPr>
      </w:pPr>
      <w:r>
        <w:rPr>
          <w:rFonts w:hint="eastAsia" w:cs="宋体"/>
          <w:b w:val="0"/>
          <w:bCs w:val="0"/>
          <w:color w:val="000000" w:themeColor="text1"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cs="宋体"/>
          <w:b w:val="0"/>
          <w:bCs w:val="0"/>
          <w:color w:val="000000" w:themeColor="text1"/>
          <w:sz w:val="30"/>
          <w:szCs w:val="30"/>
          <w:u w:val="none"/>
          <w:lang w:val="en-US" w:eastAsia="zh-CN"/>
        </w:rPr>
        <w:t>：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受</w:t>
      </w:r>
      <w:r>
        <w:rPr>
          <w:rFonts w:hint="eastAsia" w:cs="Arial" w:asciiTheme="minorEastAsia" w:hAnsiTheme="minorEastAsia" w:eastAsiaTheme="minorEastAsia"/>
          <w:color w:val="000000" w:themeColor="text1"/>
        </w:rPr>
        <w:t>民政部民间组织服务中心委托，我单位：</w:t>
      </w:r>
      <w:r>
        <w:rPr>
          <w:rFonts w:hint="eastAsia" w:cs="Arial" w:asciiTheme="minorEastAsia" w:hAnsiTheme="minorEastAsia" w:eastAsiaTheme="minorEastAsia"/>
          <w:color w:val="000000" w:themeColor="text1"/>
          <w:u w:val="single"/>
        </w:rPr>
        <w:t xml:space="preserve">             </w:t>
      </w:r>
      <w:r>
        <w:rPr>
          <w:rFonts w:hint="eastAsia" w:cs="Arial" w:asciiTheme="minorEastAsia" w:hAnsiTheme="minorEastAsia" w:eastAsiaTheme="minorEastAsia"/>
          <w:color w:val="000000" w:themeColor="text1"/>
        </w:rPr>
        <w:t>根据《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社会组织评估管理办法》（民政部令第</w:t>
      </w:r>
      <w:r>
        <w:rPr>
          <w:rFonts w:asciiTheme="minorEastAsia" w:hAnsiTheme="minorEastAsia" w:eastAsiaTheme="minorEastAsia"/>
          <w:color w:val="000000" w:themeColor="text1"/>
          <w:kern w:val="0"/>
        </w:rPr>
        <w:t>39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号）及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lang w:eastAsia="zh-CN"/>
        </w:rPr>
        <w:t>《社会组织评估委托合同》</w:t>
      </w:r>
      <w:r>
        <w:rPr>
          <w:rFonts w:hint="eastAsia" w:cs="宋体" w:asciiTheme="minorEastAsia" w:hAnsiTheme="minorEastAsia" w:eastAsiaTheme="minorEastAsia"/>
          <w:color w:val="000000" w:themeColor="text1"/>
        </w:rPr>
        <w:t>相关要求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，组织专家组一行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人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拟定于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年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月</w:t>
      </w:r>
      <w:r>
        <w:rPr>
          <w:rFonts w:hint="eastAsia" w:cs="宋体" w:asciiTheme="minorEastAsia" w:hAnsiTheme="minorEastAsia" w:eastAsiaTheme="minorEastAsia"/>
          <w:color w:val="000000" w:themeColor="text1"/>
          <w:u w:val="single"/>
        </w:rPr>
        <w:t xml:space="preserve">  </w:t>
      </w:r>
      <w:r>
        <w:rPr>
          <w:rFonts w:hint="eastAsia" w:cs="宋体" w:asciiTheme="minorEastAsia" w:hAnsiTheme="minorEastAsia" w:eastAsiaTheme="minorEastAsia"/>
          <w:color w:val="000000" w:themeColor="text1"/>
        </w:rPr>
        <w:t>日对你单位进行</w:t>
      </w:r>
      <w:r>
        <w:rPr>
          <w:rFonts w:hint="eastAsia" w:cs="宋体e眠副浡渀." w:asciiTheme="minorEastAsia" w:hAnsiTheme="minorEastAsia" w:eastAsiaTheme="minorEastAsia"/>
          <w:color w:val="000000" w:themeColor="text1"/>
        </w:rPr>
        <w:t>社会组织评估的现场评估</w:t>
      </w:r>
      <w:r>
        <w:rPr>
          <w:rFonts w:hint="eastAsia" w:cs="宋体" w:asciiTheme="minorEastAsia" w:hAnsiTheme="minorEastAsia" w:eastAsiaTheme="minorEastAsia"/>
          <w:color w:val="000000" w:themeColor="text1"/>
        </w:rPr>
        <w:t>工作，具体安排通知如下：</w:t>
      </w:r>
    </w:p>
    <w:p>
      <w:pPr>
        <w:numPr>
          <w:ilvl w:val="0"/>
          <w:numId w:val="1"/>
        </w:numPr>
        <w:spacing w:before="0" w:after="0" w:line="240" w:lineRule="auto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日程及相关安排</w:t>
      </w:r>
    </w:p>
    <w:tbl>
      <w:tblPr>
        <w:tblStyle w:val="7"/>
        <w:tblW w:w="9356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75"/>
        <w:gridCol w:w="5812"/>
        <w:gridCol w:w="18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426" w:type="dxa"/>
            <w:tcBorders>
              <w:top w:val="doub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序号</w:t>
            </w:r>
          </w:p>
        </w:tc>
        <w:tc>
          <w:tcPr>
            <w:tcW w:w="1275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pStyle w:val="13"/>
              <w:ind w:firstLine="210" w:firstLineChars="100"/>
              <w:rPr>
                <w:rFonts w:cs="Times New Roman"/>
              </w:rPr>
            </w:pPr>
            <w:r>
              <w:rPr>
                <w:rFonts w:hint="eastAsia" w:cs="Times New Roman"/>
              </w:rPr>
              <w:t>时 间</w:t>
            </w:r>
          </w:p>
        </w:tc>
        <w:tc>
          <w:tcPr>
            <w:tcW w:w="5812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内     容</w:t>
            </w:r>
          </w:p>
        </w:tc>
        <w:tc>
          <w:tcPr>
            <w:tcW w:w="1843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参加</w:t>
            </w:r>
            <w:r>
              <w:rPr>
                <w:rFonts w:cs="Times New Roman"/>
              </w:rPr>
              <w:t>人员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426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1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8:50-9:00</w:t>
            </w:r>
          </w:p>
        </w:tc>
        <w:tc>
          <w:tcPr>
            <w:tcW w:w="581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预备会议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/>
              </w:rPr>
              <w:t>评估机构在现场评估前召开内部会议，明确分工、强调纪律，签署《评估专家公正性声明》。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</w:trPr>
        <w:tc>
          <w:tcPr>
            <w:tcW w:w="42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 xml:space="preserve">9:00-9:30 </w:t>
            </w:r>
          </w:p>
        </w:tc>
        <w:tc>
          <w:tcPr>
            <w:tcW w:w="58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首次会议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1.评估机构</w:t>
            </w:r>
            <w:r>
              <w:rPr>
                <w:rFonts w:hint="eastAsia"/>
              </w:rPr>
              <w:t>宣读《评估机构</w:t>
            </w:r>
            <w:r>
              <w:rPr>
                <w:rFonts w:hint="eastAsia"/>
                <w:color w:val="000000"/>
              </w:rPr>
              <w:t>公正性声明》</w:t>
            </w:r>
            <w:r>
              <w:rPr>
                <w:rFonts w:hint="eastAsia" w:cs="Times New Roman"/>
              </w:rPr>
              <w:t>；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2.</w:t>
            </w:r>
            <w:r>
              <w:rPr>
                <w:rFonts w:hint="eastAsia"/>
              </w:rPr>
              <w:t>评估专家组组长介绍</w:t>
            </w:r>
            <w:r>
              <w:rPr>
                <w:rFonts w:hint="eastAsia" w:cs="Times New Roman"/>
              </w:rPr>
              <w:t>评估组成员、</w:t>
            </w:r>
            <w:r>
              <w:rPr>
                <w:rFonts w:hint="eastAsia"/>
              </w:rPr>
              <w:t>分工</w:t>
            </w:r>
            <w:r>
              <w:rPr>
                <w:rFonts w:hint="eastAsia" w:cs="Times New Roman"/>
              </w:rPr>
              <w:t>及</w:t>
            </w:r>
            <w:r>
              <w:rPr>
                <w:rFonts w:hint="eastAsia"/>
              </w:rPr>
              <w:t>现场评估程序</w:t>
            </w:r>
            <w:r>
              <w:rPr>
                <w:rFonts w:hint="eastAsia" w:cs="Times New Roman"/>
              </w:rPr>
              <w:t>；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3.评估单位介绍相关人员、单位基本情况（突出工作亮点，时间控制20分钟内）。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9" w:hRule="atLeast"/>
        </w:trPr>
        <w:tc>
          <w:tcPr>
            <w:tcW w:w="426" w:type="dxa"/>
            <w:tcBorders>
              <w:top w:val="single" w:color="auto" w:sz="4" w:space="0"/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9:30-15:30</w:t>
            </w:r>
          </w:p>
        </w:tc>
        <w:tc>
          <w:tcPr>
            <w:tcW w:w="581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ascii="宋体" w:hAnsi="宋体" w:cs="宋体"/>
                <w:b/>
              </w:rPr>
            </w:pPr>
            <w:r>
              <w:rPr>
                <w:rFonts w:hint="eastAsia" w:ascii="宋体" w:hAnsi="宋体" w:cs="宋体"/>
                <w:b/>
              </w:rPr>
              <w:t>分组评估</w:t>
            </w:r>
          </w:p>
          <w:p>
            <w:pPr>
              <w:pStyle w:val="13"/>
              <w:rPr>
                <w:rFonts w:ascii="宋体" w:hAnsi="宋体" w:cs="宋体"/>
              </w:rPr>
            </w:pPr>
            <w:r>
              <w:rPr>
                <w:rFonts w:hint="eastAsia"/>
              </w:rPr>
              <w:t>评估专家分成基础条件（内部治理）、财务管理、工作绩效三个小组（每组不少于两人），按照评估标准进行评估，并形成小组评估意见。</w:t>
            </w:r>
          </w:p>
          <w:p>
            <w:pPr>
              <w:pStyle w:val="13"/>
              <w:rPr>
                <w:rFonts w:ascii="宋体" w:hAnsi="宋体" w:cs="宋体"/>
                <w:b/>
              </w:rPr>
            </w:pPr>
          </w:p>
          <w:p>
            <w:pPr>
              <w:pStyle w:val="13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b/>
              </w:rPr>
              <w:t>评估单位相关准备工作</w:t>
            </w:r>
            <w:r>
              <w:rPr>
                <w:rFonts w:hint="eastAsia" w:ascii="宋体" w:hAnsi="宋体" w:cs="宋体"/>
              </w:rPr>
              <w:t>：</w:t>
            </w:r>
          </w:p>
          <w:p>
            <w:pPr>
              <w:pStyle w:val="13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1.确定三个小组相关对接人员；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ascii="宋体" w:hAnsi="宋体" w:cs="宋体"/>
              </w:rPr>
              <w:t>2.</w:t>
            </w:r>
            <w:r>
              <w:rPr>
                <w:rFonts w:cs="Times New Roman"/>
              </w:rPr>
              <w:t>按照</w:t>
            </w:r>
            <w:r>
              <w:rPr>
                <w:rFonts w:hint="eastAsia" w:cs="Times New Roman"/>
              </w:rPr>
              <w:t>“</w:t>
            </w:r>
            <w:r>
              <w:rPr>
                <w:rFonts w:cs="Times New Roman"/>
              </w:rPr>
              <w:t>评估指标</w:t>
            </w:r>
            <w:r>
              <w:rPr>
                <w:rFonts w:hint="eastAsia" w:cs="Times New Roman"/>
              </w:rPr>
              <w:t>”</w:t>
            </w:r>
            <w:r>
              <w:rPr>
                <w:rFonts w:cs="Times New Roman"/>
              </w:rPr>
              <w:t>和</w:t>
            </w:r>
            <w:r>
              <w:rPr>
                <w:rFonts w:hint="eastAsia" w:cs="Times New Roman"/>
              </w:rPr>
              <w:t>“</w:t>
            </w:r>
            <w:r>
              <w:rPr>
                <w:rFonts w:cs="Times New Roman"/>
              </w:rPr>
              <w:t>现场评估材料清单</w:t>
            </w:r>
            <w:r>
              <w:rPr>
                <w:rFonts w:hint="eastAsia" w:cs="Times New Roman"/>
              </w:rPr>
              <w:t>”</w:t>
            </w:r>
            <w:r>
              <w:rPr>
                <w:rFonts w:cs="Times New Roman"/>
              </w:rPr>
              <w:t>准备</w:t>
            </w:r>
            <w:r>
              <w:rPr>
                <w:rFonts w:hint="eastAsia" w:cs="Times New Roman"/>
                <w:lang w:eastAsia="zh-CN"/>
              </w:rPr>
              <w:t>相关资料</w:t>
            </w:r>
            <w:r>
              <w:rPr>
                <w:rFonts w:hint="eastAsia" w:cs="Times New Roman"/>
              </w:rPr>
              <w:t>。</w:t>
            </w:r>
          </w:p>
          <w:p>
            <w:pPr>
              <w:pStyle w:val="13"/>
              <w:rPr>
                <w:rFonts w:cs="Times New Roman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</w:p>
          <w:p>
            <w:pPr>
              <w:pStyle w:val="13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　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</w:trPr>
        <w:tc>
          <w:tcPr>
            <w:tcW w:w="42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15:30-16:00</w:t>
            </w:r>
          </w:p>
        </w:tc>
        <w:tc>
          <w:tcPr>
            <w:tcW w:w="58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集体合议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/>
              </w:rPr>
              <w:t>评估专家组集体讨论各小组评估意见，确定反馈内容。集体合议时评估单位应回避。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3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</w:trPr>
        <w:tc>
          <w:tcPr>
            <w:tcW w:w="426" w:type="dxa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3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16:00-17:00</w:t>
            </w:r>
          </w:p>
        </w:tc>
        <w:tc>
          <w:tcPr>
            <w:tcW w:w="581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rPr>
                <w:rFonts w:cs="Times New Roman"/>
                <w:b/>
              </w:rPr>
            </w:pPr>
            <w:r>
              <w:rPr>
                <w:rFonts w:hint="eastAsia" w:cs="Times New Roman"/>
                <w:b/>
              </w:rPr>
              <w:t>末次会议</w:t>
            </w:r>
          </w:p>
          <w:p>
            <w:pPr>
              <w:pStyle w:val="13"/>
              <w:rPr>
                <w:sz w:val="24"/>
                <w:szCs w:val="24"/>
              </w:rPr>
            </w:pPr>
            <w:r>
              <w:rPr>
                <w:rFonts w:hint="eastAsia"/>
              </w:rPr>
              <w:t>评估专家组组长主持召开末次会议，各小组分别反馈评估意见。对评估单位提出的异议，评估专家组当场审核处理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pStyle w:val="13"/>
            </w:pPr>
            <w:r>
              <w:rPr>
                <w:rFonts w:hint="eastAsia"/>
              </w:rPr>
              <w:t>评估专家组组长作简要总结。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</w:tcPr>
          <w:p>
            <w:pPr>
              <w:pStyle w:val="13"/>
              <w:rPr>
                <w:rFonts w:cs="Times New Roman"/>
              </w:rPr>
            </w:pPr>
            <w:r>
              <w:rPr>
                <w:rFonts w:cs="Times New Roman"/>
              </w:rPr>
              <w:t>评估机构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评估专家组</w:t>
            </w:r>
          </w:p>
          <w:p>
            <w:pPr>
              <w:pStyle w:val="13"/>
              <w:rPr>
                <w:rFonts w:cs="Times New Roman"/>
              </w:rPr>
            </w:pPr>
            <w:r>
              <w:rPr>
                <w:rFonts w:hint="eastAsia" w:cs="Times New Roman"/>
              </w:rPr>
              <w:t>评估单位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426" w:type="dxa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备注</w:t>
            </w:r>
          </w:p>
          <w:p>
            <w:pPr>
              <w:pStyle w:val="13"/>
              <w:jc w:val="center"/>
              <w:rPr>
                <w:rFonts w:cs="Times New Roman"/>
              </w:rPr>
            </w:pPr>
          </w:p>
        </w:tc>
        <w:tc>
          <w:tcPr>
            <w:tcW w:w="8930" w:type="dxa"/>
            <w:gridSpan w:val="3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widowControl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szCs w:val="18"/>
              </w:rPr>
            </w:pPr>
            <w:r>
              <w:rPr>
                <w:rFonts w:hint="eastAsia" w:cs="Times New Roman"/>
                <w:szCs w:val="18"/>
              </w:rPr>
              <w:t>评估单位应积极配合评估工作，安排有关人员在场。</w:t>
            </w:r>
          </w:p>
          <w:p>
            <w:pPr>
              <w:widowControl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szCs w:val="18"/>
              </w:rPr>
            </w:pPr>
            <w:r>
              <w:rPr>
                <w:rFonts w:hint="eastAsia" w:cs="Times New Roman"/>
                <w:szCs w:val="18"/>
              </w:rPr>
              <w:t>评估单位协助安排午餐（盒饭或外卖），勿安排桌餐，费用由评估机构支付。</w:t>
            </w:r>
          </w:p>
          <w:p>
            <w:pPr>
              <w:widowControl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评估单位</w:t>
            </w:r>
            <w:r>
              <w:rPr>
                <w:szCs w:val="18"/>
              </w:rPr>
              <w:t>不得以评审费</w:t>
            </w:r>
            <w:r>
              <w:rPr>
                <w:rFonts w:hint="eastAsia"/>
                <w:szCs w:val="18"/>
              </w:rPr>
              <w:t>、</w:t>
            </w:r>
            <w:r>
              <w:rPr>
                <w:szCs w:val="18"/>
              </w:rPr>
              <w:t>咨询费等名义向评估</w:t>
            </w:r>
            <w:r>
              <w:rPr>
                <w:rFonts w:hint="eastAsia"/>
                <w:szCs w:val="18"/>
              </w:rPr>
              <w:t>机构及</w:t>
            </w:r>
            <w:r>
              <w:rPr>
                <w:szCs w:val="18"/>
              </w:rPr>
              <w:t>专家支付现金</w:t>
            </w:r>
            <w:r>
              <w:rPr>
                <w:rFonts w:hint="eastAsia"/>
                <w:szCs w:val="18"/>
              </w:rPr>
              <w:t>、</w:t>
            </w:r>
            <w:r>
              <w:rPr>
                <w:szCs w:val="18"/>
              </w:rPr>
              <w:t>赠送有价证券</w:t>
            </w:r>
            <w:r>
              <w:rPr>
                <w:rFonts w:hint="eastAsia"/>
                <w:szCs w:val="18"/>
              </w:rPr>
              <w:t>（</w:t>
            </w:r>
            <w:r>
              <w:rPr>
                <w:szCs w:val="18"/>
              </w:rPr>
              <w:t>卡</w:t>
            </w:r>
            <w:r>
              <w:rPr>
                <w:rFonts w:hint="eastAsia"/>
                <w:szCs w:val="18"/>
              </w:rPr>
              <w:t>）、</w:t>
            </w:r>
            <w:r>
              <w:rPr>
                <w:szCs w:val="18"/>
              </w:rPr>
              <w:t>纪念品及礼品</w:t>
            </w:r>
            <w:r>
              <w:rPr>
                <w:rFonts w:hint="eastAsia"/>
                <w:szCs w:val="18"/>
              </w:rPr>
              <w:t>；</w:t>
            </w:r>
            <w:r>
              <w:rPr>
                <w:szCs w:val="18"/>
              </w:rPr>
              <w:t>不得安排接送及迎送仪式</w:t>
            </w:r>
            <w:r>
              <w:rPr>
                <w:rFonts w:hint="eastAsia"/>
                <w:szCs w:val="18"/>
              </w:rPr>
              <w:t>（</w:t>
            </w:r>
            <w:r>
              <w:rPr>
                <w:szCs w:val="18"/>
              </w:rPr>
              <w:t>设置横幅和</w:t>
            </w:r>
            <w:r>
              <w:rPr>
                <w:rFonts w:hint="eastAsia"/>
                <w:szCs w:val="18"/>
              </w:rPr>
              <w:t>摆放</w:t>
            </w:r>
            <w:r>
              <w:rPr>
                <w:szCs w:val="18"/>
              </w:rPr>
              <w:t>鲜花等</w:t>
            </w:r>
            <w:r>
              <w:rPr>
                <w:rFonts w:hint="eastAsia"/>
                <w:szCs w:val="18"/>
              </w:rPr>
              <w:t>）。</w:t>
            </w:r>
          </w:p>
          <w:p>
            <w:pPr>
              <w:widowControl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szCs w:val="18"/>
              </w:rPr>
            </w:pPr>
            <w:r>
              <w:rPr>
                <w:rFonts w:hint="eastAsia"/>
                <w:szCs w:val="18"/>
              </w:rPr>
              <w:t>评估结束后，评估单位请认真填写【现场评估满意度评价表】，反馈至民政部</w:t>
            </w:r>
            <w:r>
              <w:rPr>
                <w:rFonts w:hint="eastAsia"/>
                <w:szCs w:val="18"/>
                <w:lang w:eastAsia="zh-CN"/>
              </w:rPr>
              <w:t>民间组织服务中心管理服务处</w:t>
            </w:r>
            <w:r>
              <w:rPr>
                <w:rFonts w:hint="eastAsia"/>
                <w:szCs w:val="18"/>
              </w:rPr>
              <w:t>。</w:t>
            </w:r>
            <w:bookmarkStart w:id="0" w:name="_GoBack"/>
            <w:bookmarkEnd w:id="0"/>
          </w:p>
        </w:tc>
      </w:tr>
    </w:tbl>
    <w:p>
      <w:pPr>
        <w:spacing w:afterLines="50" w:line="380" w:lineRule="exact"/>
        <w:rPr>
          <w:rFonts w:ascii="宋体" w:hAnsi="宋体" w:cs="宋体"/>
        </w:rPr>
      </w:pPr>
    </w:p>
    <w:p>
      <w:pPr>
        <w:spacing w:afterLines="50" w:line="380" w:lineRule="exact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评估机构联络方式：</w:t>
      </w:r>
    </w:p>
    <w:p>
      <w:pPr>
        <w:spacing w:afterLines="50" w:line="380" w:lineRule="exact"/>
        <w:rPr>
          <w:rFonts w:ascii="宋体" w:cs="Times New Roman"/>
        </w:rPr>
      </w:pPr>
      <w:r>
        <w:rPr>
          <w:rFonts w:hint="eastAsia" w:ascii="宋体" w:cs="Times New Roman"/>
        </w:rPr>
        <w:t>民政部监督电话：</w:t>
      </w:r>
      <w:r>
        <w:rPr>
          <w:rFonts w:hint="eastAsia" w:ascii="宋体" w:cs="Times New Roman"/>
          <w:lang w:val="en-US" w:eastAsia="zh-CN"/>
        </w:rPr>
        <w:t>010—</w:t>
      </w:r>
    </w:p>
    <w:p>
      <w:pPr>
        <w:spacing w:afterLines="50" w:line="380" w:lineRule="exact"/>
        <w:ind w:firstLine="5880" w:firstLineChars="2800"/>
        <w:rPr>
          <w:rFonts w:ascii="宋体" w:hAnsi="宋体" w:cs="宋体"/>
        </w:rPr>
      </w:pPr>
      <w:r>
        <w:rPr>
          <w:rFonts w:hint="eastAsia" w:ascii="宋体" w:hAnsi="宋体" w:cs="宋体"/>
        </w:rPr>
        <w:t>评估机构（盖章）：</w:t>
      </w:r>
    </w:p>
    <w:p>
      <w:pPr>
        <w:spacing w:afterLines="50" w:line="380" w:lineRule="exact"/>
        <w:ind w:firstLine="6090" w:firstLineChars="2900"/>
        <w:rPr>
          <w:rFonts w:ascii="宋体" w:cs="Times New Roman"/>
        </w:rPr>
      </w:pPr>
      <w:r>
        <w:rPr>
          <w:rFonts w:hint="eastAsia" w:ascii="宋体" w:hAnsi="宋体" w:cs="宋体"/>
        </w:rPr>
        <w:t>日   期：</w:t>
      </w:r>
    </w:p>
    <w:sectPr>
      <w:headerReference r:id="rId3" w:type="default"/>
      <w:pgSz w:w="11906" w:h="16838"/>
      <w:pgMar w:top="1021" w:right="680" w:bottom="567" w:left="1588" w:header="964" w:footer="624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e眠副浡渀.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thinThickSmallGap" w:color="auto" w:sz="24" w:space="0"/>
      </w:pBdr>
      <w:tabs>
        <w:tab w:val="right" w:pos="8312"/>
        <w:tab w:val="center" w:pos="8789"/>
      </w:tabs>
      <w:snapToGrid w:val="0"/>
      <w:spacing w:line="300" w:lineRule="exact"/>
      <w:jc w:val="left"/>
      <w:rPr>
        <w:rFonts w:ascii="黑体" w:eastAsia="黑体" w:cs="黑体"/>
        <w:b/>
        <w:bCs/>
      </w:rPr>
    </w:pPr>
    <w:r>
      <w:pict>
        <v:rect id="_x0000_s4097" o:spid="_x0000_s4097" o:spt="1" style="position:absolute;left:0pt;margin-left:356.5pt;margin-top:-30.55pt;height:36.4pt;width:83.1pt;z-index:-251658240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 w:line="280" w:lineRule="exact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-0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4</w:t>
                </w:r>
              </w:p>
            </w:txbxContent>
          </v:textbox>
        </v:rect>
      </w:pict>
    </w:r>
  </w:p>
  <w:p>
    <w:pPr>
      <w:pStyle w:val="5"/>
      <w:tabs>
        <w:tab w:val="right" w:pos="8312"/>
        <w:tab w:val="center" w:pos="8789"/>
      </w:tabs>
      <w:snapToGrid w:val="0"/>
      <w:jc w:val="left"/>
      <w:rPr>
        <w:rFonts w:ascii="黑体" w:eastAsia="黑体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7C13837"/>
    <w:multiLevelType w:val="multilevel"/>
    <w:tmpl w:val="37C13837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7155"/>
    <w:rsid w:val="00001F1C"/>
    <w:rsid w:val="000149AF"/>
    <w:rsid w:val="0001572D"/>
    <w:rsid w:val="0002399B"/>
    <w:rsid w:val="00026F4B"/>
    <w:rsid w:val="00043F4F"/>
    <w:rsid w:val="00050042"/>
    <w:rsid w:val="00051CD7"/>
    <w:rsid w:val="00052FA1"/>
    <w:rsid w:val="000964FD"/>
    <w:rsid w:val="000A388C"/>
    <w:rsid w:val="000B1AE4"/>
    <w:rsid w:val="000C4E50"/>
    <w:rsid w:val="000C74E0"/>
    <w:rsid w:val="000E0575"/>
    <w:rsid w:val="000E46F8"/>
    <w:rsid w:val="000E4C29"/>
    <w:rsid w:val="00102D6E"/>
    <w:rsid w:val="001317EE"/>
    <w:rsid w:val="001351EE"/>
    <w:rsid w:val="00153DEC"/>
    <w:rsid w:val="001676CC"/>
    <w:rsid w:val="00186242"/>
    <w:rsid w:val="00187198"/>
    <w:rsid w:val="00187550"/>
    <w:rsid w:val="001A01C4"/>
    <w:rsid w:val="001A0F15"/>
    <w:rsid w:val="001B488C"/>
    <w:rsid w:val="001B5884"/>
    <w:rsid w:val="001B5F33"/>
    <w:rsid w:val="001B7D66"/>
    <w:rsid w:val="001C5A3A"/>
    <w:rsid w:val="001C5C38"/>
    <w:rsid w:val="001C650F"/>
    <w:rsid w:val="001D1F06"/>
    <w:rsid w:val="001F5C88"/>
    <w:rsid w:val="0021621A"/>
    <w:rsid w:val="00235436"/>
    <w:rsid w:val="00241110"/>
    <w:rsid w:val="00251AE0"/>
    <w:rsid w:val="002533FD"/>
    <w:rsid w:val="002B6B8A"/>
    <w:rsid w:val="002B78B4"/>
    <w:rsid w:val="002E7F6F"/>
    <w:rsid w:val="003271FA"/>
    <w:rsid w:val="00331834"/>
    <w:rsid w:val="00336546"/>
    <w:rsid w:val="00343442"/>
    <w:rsid w:val="003440F6"/>
    <w:rsid w:val="003450DB"/>
    <w:rsid w:val="0034763C"/>
    <w:rsid w:val="003573B8"/>
    <w:rsid w:val="00371C6C"/>
    <w:rsid w:val="00376B66"/>
    <w:rsid w:val="00382A56"/>
    <w:rsid w:val="0038659F"/>
    <w:rsid w:val="00392949"/>
    <w:rsid w:val="0039352D"/>
    <w:rsid w:val="00394E8C"/>
    <w:rsid w:val="003B449D"/>
    <w:rsid w:val="003B52B6"/>
    <w:rsid w:val="003C4DAF"/>
    <w:rsid w:val="003D6D8E"/>
    <w:rsid w:val="003F2CEF"/>
    <w:rsid w:val="004045E6"/>
    <w:rsid w:val="004048C5"/>
    <w:rsid w:val="004111C4"/>
    <w:rsid w:val="00413C7D"/>
    <w:rsid w:val="00416780"/>
    <w:rsid w:val="00423BA2"/>
    <w:rsid w:val="00436939"/>
    <w:rsid w:val="00455069"/>
    <w:rsid w:val="00467F5C"/>
    <w:rsid w:val="004775D1"/>
    <w:rsid w:val="004879F6"/>
    <w:rsid w:val="004903A9"/>
    <w:rsid w:val="0049235C"/>
    <w:rsid w:val="004A2F46"/>
    <w:rsid w:val="004B0EBC"/>
    <w:rsid w:val="004C2FB7"/>
    <w:rsid w:val="004C6585"/>
    <w:rsid w:val="004C7155"/>
    <w:rsid w:val="004E0329"/>
    <w:rsid w:val="004E6256"/>
    <w:rsid w:val="004F5FA2"/>
    <w:rsid w:val="00517348"/>
    <w:rsid w:val="00524FD8"/>
    <w:rsid w:val="005320B4"/>
    <w:rsid w:val="00547522"/>
    <w:rsid w:val="00547F46"/>
    <w:rsid w:val="00555FF4"/>
    <w:rsid w:val="00590044"/>
    <w:rsid w:val="00591011"/>
    <w:rsid w:val="00594847"/>
    <w:rsid w:val="005A4587"/>
    <w:rsid w:val="005D3B68"/>
    <w:rsid w:val="005D7D6D"/>
    <w:rsid w:val="005E017B"/>
    <w:rsid w:val="005E17EE"/>
    <w:rsid w:val="005F1F64"/>
    <w:rsid w:val="00610C56"/>
    <w:rsid w:val="00623C91"/>
    <w:rsid w:val="00631901"/>
    <w:rsid w:val="00633E4C"/>
    <w:rsid w:val="00635DC9"/>
    <w:rsid w:val="006430D8"/>
    <w:rsid w:val="00661362"/>
    <w:rsid w:val="00676A21"/>
    <w:rsid w:val="006A0249"/>
    <w:rsid w:val="006A2380"/>
    <w:rsid w:val="006A6A88"/>
    <w:rsid w:val="006D1BC8"/>
    <w:rsid w:val="006E0022"/>
    <w:rsid w:val="006E6F3D"/>
    <w:rsid w:val="006F01EB"/>
    <w:rsid w:val="0070173E"/>
    <w:rsid w:val="00710191"/>
    <w:rsid w:val="00716FC6"/>
    <w:rsid w:val="00724881"/>
    <w:rsid w:val="0073750E"/>
    <w:rsid w:val="0075616F"/>
    <w:rsid w:val="00761746"/>
    <w:rsid w:val="0076375F"/>
    <w:rsid w:val="00780D9E"/>
    <w:rsid w:val="00783E41"/>
    <w:rsid w:val="007949B2"/>
    <w:rsid w:val="007A5DB7"/>
    <w:rsid w:val="007B0151"/>
    <w:rsid w:val="007C451D"/>
    <w:rsid w:val="007C5931"/>
    <w:rsid w:val="007C7AA5"/>
    <w:rsid w:val="007F157C"/>
    <w:rsid w:val="00836199"/>
    <w:rsid w:val="008527D0"/>
    <w:rsid w:val="008717DB"/>
    <w:rsid w:val="008934C1"/>
    <w:rsid w:val="008A52B7"/>
    <w:rsid w:val="008B2959"/>
    <w:rsid w:val="008E0FB7"/>
    <w:rsid w:val="008E1DF7"/>
    <w:rsid w:val="0093722D"/>
    <w:rsid w:val="00952B22"/>
    <w:rsid w:val="009627A8"/>
    <w:rsid w:val="009916D7"/>
    <w:rsid w:val="00997BA4"/>
    <w:rsid w:val="009A1551"/>
    <w:rsid w:val="009B023A"/>
    <w:rsid w:val="009C165F"/>
    <w:rsid w:val="009C3AA1"/>
    <w:rsid w:val="009D4D39"/>
    <w:rsid w:val="009D6773"/>
    <w:rsid w:val="009E290D"/>
    <w:rsid w:val="009E5734"/>
    <w:rsid w:val="009F578D"/>
    <w:rsid w:val="00A00AA1"/>
    <w:rsid w:val="00A05859"/>
    <w:rsid w:val="00A2016B"/>
    <w:rsid w:val="00A46D2D"/>
    <w:rsid w:val="00A51FC3"/>
    <w:rsid w:val="00A62639"/>
    <w:rsid w:val="00A65EE7"/>
    <w:rsid w:val="00A70061"/>
    <w:rsid w:val="00A9045F"/>
    <w:rsid w:val="00AA1C25"/>
    <w:rsid w:val="00AA67AD"/>
    <w:rsid w:val="00AB7374"/>
    <w:rsid w:val="00AC5DBC"/>
    <w:rsid w:val="00AE6711"/>
    <w:rsid w:val="00AF3CF3"/>
    <w:rsid w:val="00B12D9A"/>
    <w:rsid w:val="00B156D4"/>
    <w:rsid w:val="00B4046A"/>
    <w:rsid w:val="00B644E5"/>
    <w:rsid w:val="00B70407"/>
    <w:rsid w:val="00B83B9B"/>
    <w:rsid w:val="00B914AC"/>
    <w:rsid w:val="00B916F7"/>
    <w:rsid w:val="00B95901"/>
    <w:rsid w:val="00B96F9B"/>
    <w:rsid w:val="00BA4EE2"/>
    <w:rsid w:val="00BB2B26"/>
    <w:rsid w:val="00BD35C1"/>
    <w:rsid w:val="00C017B9"/>
    <w:rsid w:val="00C34F85"/>
    <w:rsid w:val="00C4049B"/>
    <w:rsid w:val="00C43733"/>
    <w:rsid w:val="00C474A8"/>
    <w:rsid w:val="00C57E17"/>
    <w:rsid w:val="00C74E67"/>
    <w:rsid w:val="00C81A9F"/>
    <w:rsid w:val="00C84421"/>
    <w:rsid w:val="00C86C0D"/>
    <w:rsid w:val="00C94D68"/>
    <w:rsid w:val="00CC19C4"/>
    <w:rsid w:val="00CC756F"/>
    <w:rsid w:val="00CE03B6"/>
    <w:rsid w:val="00CE4389"/>
    <w:rsid w:val="00CE533A"/>
    <w:rsid w:val="00CF490E"/>
    <w:rsid w:val="00D23B59"/>
    <w:rsid w:val="00D25702"/>
    <w:rsid w:val="00D266CA"/>
    <w:rsid w:val="00D309C2"/>
    <w:rsid w:val="00D45037"/>
    <w:rsid w:val="00D81971"/>
    <w:rsid w:val="00D845CD"/>
    <w:rsid w:val="00D91BF3"/>
    <w:rsid w:val="00DA2B49"/>
    <w:rsid w:val="00DA4FD5"/>
    <w:rsid w:val="00DD14BE"/>
    <w:rsid w:val="00DE156C"/>
    <w:rsid w:val="00DE52BB"/>
    <w:rsid w:val="00DF4CCD"/>
    <w:rsid w:val="00E045B0"/>
    <w:rsid w:val="00E17D86"/>
    <w:rsid w:val="00E46EDD"/>
    <w:rsid w:val="00E56CE0"/>
    <w:rsid w:val="00E660DB"/>
    <w:rsid w:val="00E74497"/>
    <w:rsid w:val="00E866DB"/>
    <w:rsid w:val="00E978A3"/>
    <w:rsid w:val="00EB2DC1"/>
    <w:rsid w:val="00EC1A8C"/>
    <w:rsid w:val="00ED1749"/>
    <w:rsid w:val="00ED79FF"/>
    <w:rsid w:val="00EF0EE0"/>
    <w:rsid w:val="00F051C5"/>
    <w:rsid w:val="00F173AC"/>
    <w:rsid w:val="00F427DB"/>
    <w:rsid w:val="00F45E59"/>
    <w:rsid w:val="00F54D3D"/>
    <w:rsid w:val="00F558FD"/>
    <w:rsid w:val="00F56296"/>
    <w:rsid w:val="00F66A2F"/>
    <w:rsid w:val="00F807C5"/>
    <w:rsid w:val="00F977C5"/>
    <w:rsid w:val="00FA65C7"/>
    <w:rsid w:val="00FB439E"/>
    <w:rsid w:val="00FB7658"/>
    <w:rsid w:val="00FC0801"/>
    <w:rsid w:val="00FD2015"/>
    <w:rsid w:val="02890D36"/>
    <w:rsid w:val="127C342C"/>
    <w:rsid w:val="1E080B3F"/>
    <w:rsid w:val="20791DB0"/>
    <w:rsid w:val="25484EC9"/>
    <w:rsid w:val="34022063"/>
    <w:rsid w:val="37503634"/>
    <w:rsid w:val="3EFE1167"/>
    <w:rsid w:val="4E4C0585"/>
    <w:rsid w:val="51B07591"/>
    <w:rsid w:val="5A8D72E0"/>
    <w:rsid w:val="5B47051F"/>
    <w:rsid w:val="601907B1"/>
    <w:rsid w:val="6F024472"/>
    <w:rsid w:val="7B731598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7"/>
    <w:qFormat/>
    <w:uiPriority w:val="99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locked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locked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qFormat/>
    <w:locked/>
    <w:uiPriority w:val="99"/>
    <w:rPr>
      <w:sz w:val="18"/>
      <w:szCs w:val="18"/>
    </w:rPr>
  </w:style>
  <w:style w:type="paragraph" w:customStyle="1" w:styleId="12">
    <w:name w:val="无间隔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无间隔2"/>
    <w:qFormat/>
    <w:uiPriority w:val="1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wsc</Company>
  <Pages>1</Pages>
  <Words>143</Words>
  <Characters>819</Characters>
  <Lines>6</Lines>
  <Paragraphs>1</Paragraphs>
  <ScaleCrop>false</ScaleCrop>
  <LinksUpToDate>false</LinksUpToDate>
  <CharactersWithSpaces>961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2016-07-29T03:03:00Z</dcterms:created>
  <dc:creator>王媛</dc:creator>
  <cp:lastModifiedBy>hyg</cp:lastModifiedBy>
  <cp:lastPrinted>2014-04-03T13:19:00Z</cp:lastPrinted>
  <dcterms:modified xsi:type="dcterms:W3CDTF">2017-02-17T06:32:20Z</dcterms:modified>
  <dc:title>审核通知书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