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22EEF" w14:textId="77777777" w:rsidR="00B77779" w:rsidRDefault="00B77779">
      <w:pPr>
        <w:jc w:val="center"/>
        <w:rPr>
          <w:rFonts w:ascii="黑体" w:eastAsia="黑体" w:hAnsi="黑体" w:cs="黑体"/>
          <w:b/>
          <w:spacing w:val="-12"/>
          <w:sz w:val="48"/>
          <w:szCs w:val="48"/>
        </w:rPr>
      </w:pPr>
    </w:p>
    <w:p w14:paraId="15EF3954" w14:textId="77777777" w:rsidR="00B77779" w:rsidRDefault="00B77779">
      <w:pPr>
        <w:jc w:val="center"/>
        <w:rPr>
          <w:rFonts w:ascii="黑体" w:eastAsia="黑体" w:hAnsi="黑体" w:cs="黑体"/>
          <w:b/>
          <w:spacing w:val="-12"/>
          <w:sz w:val="48"/>
          <w:szCs w:val="48"/>
        </w:rPr>
      </w:pPr>
    </w:p>
    <w:p w14:paraId="15770F54" w14:textId="77777777" w:rsidR="00B77779" w:rsidRDefault="00B77779">
      <w:pPr>
        <w:jc w:val="center"/>
        <w:rPr>
          <w:rFonts w:ascii="黑体" w:eastAsia="黑体" w:hAnsi="黑体" w:cs="黑体"/>
          <w:b/>
          <w:spacing w:val="-12"/>
          <w:sz w:val="48"/>
          <w:szCs w:val="48"/>
        </w:rPr>
      </w:pPr>
    </w:p>
    <w:p w14:paraId="1393CBC1" w14:textId="77777777" w:rsidR="00B77779" w:rsidRDefault="00B77779">
      <w:pPr>
        <w:jc w:val="center"/>
        <w:rPr>
          <w:rFonts w:ascii="黑体" w:eastAsia="黑体" w:hAnsi="黑体" w:cs="黑体"/>
          <w:b/>
          <w:spacing w:val="-12"/>
          <w:sz w:val="48"/>
          <w:szCs w:val="48"/>
        </w:rPr>
      </w:pPr>
    </w:p>
    <w:p w14:paraId="27FC7478" w14:textId="77777777" w:rsidR="00B77779" w:rsidRDefault="00B77779">
      <w:pPr>
        <w:jc w:val="center"/>
        <w:rPr>
          <w:rFonts w:ascii="黑体" w:eastAsia="黑体" w:hAnsi="黑体" w:cs="黑体"/>
          <w:b/>
          <w:spacing w:val="-12"/>
          <w:sz w:val="48"/>
          <w:szCs w:val="48"/>
        </w:rPr>
      </w:pPr>
    </w:p>
    <w:p w14:paraId="1B0CF2C4" w14:textId="77777777" w:rsidR="00B77779" w:rsidRDefault="00B77779">
      <w:pPr>
        <w:jc w:val="center"/>
        <w:rPr>
          <w:rFonts w:ascii="黑体" w:eastAsia="黑体" w:hAnsi="黑体" w:cs="黑体"/>
          <w:b/>
          <w:spacing w:val="-12"/>
          <w:sz w:val="48"/>
          <w:szCs w:val="48"/>
        </w:rPr>
      </w:pPr>
    </w:p>
    <w:p w14:paraId="5ACA1481" w14:textId="77777777" w:rsidR="00B77779" w:rsidRDefault="00ED1BEC">
      <w:pPr>
        <w:autoSpaceDE w:val="0"/>
        <w:autoSpaceDN w:val="0"/>
        <w:adjustRightInd w:val="0"/>
        <w:spacing w:beforeLines="100" w:before="312"/>
        <w:ind w:firstLineChars="500" w:firstLine="2400"/>
        <w:rPr>
          <w:rFonts w:ascii="黑体" w:eastAsia="黑体" w:hAnsi="黑体" w:cs="黑体"/>
          <w:sz w:val="48"/>
          <w:szCs w:val="48"/>
        </w:rPr>
      </w:pPr>
      <w:r>
        <w:rPr>
          <w:rFonts w:ascii="黑体" w:eastAsia="黑体" w:hAnsi="黑体" w:cs="黑体" w:hint="eastAsia"/>
          <w:sz w:val="48"/>
          <w:szCs w:val="48"/>
        </w:rPr>
        <w:t>企业</w:t>
      </w:r>
      <w:r>
        <w:rPr>
          <w:rFonts w:ascii="黑体" w:eastAsia="黑体" w:hAnsi="黑体" w:cs="黑体" w:hint="eastAsia"/>
          <w:sz w:val="48"/>
          <w:szCs w:val="48"/>
        </w:rPr>
        <w:t>慈善</w:t>
      </w:r>
      <w:r>
        <w:rPr>
          <w:rFonts w:ascii="黑体" w:eastAsia="黑体" w:hAnsi="黑体" w:cs="黑体" w:hint="eastAsia"/>
          <w:sz w:val="48"/>
          <w:szCs w:val="48"/>
        </w:rPr>
        <w:t>捐赠指引</w:t>
      </w:r>
    </w:p>
    <w:p w14:paraId="158187C3" w14:textId="77777777" w:rsidR="00B77779" w:rsidRDefault="00ED1BEC">
      <w:pPr>
        <w:autoSpaceDE w:val="0"/>
        <w:autoSpaceDN w:val="0"/>
        <w:adjustRightInd w:val="0"/>
        <w:spacing w:beforeLines="100" w:before="312"/>
        <w:jc w:val="center"/>
        <w:rPr>
          <w:rFonts w:ascii="宋体" w:hAnsi="宋体" w:cs="宋体"/>
          <w:b/>
          <w:sz w:val="36"/>
          <w:szCs w:val="36"/>
        </w:rPr>
      </w:pPr>
      <w:r>
        <w:rPr>
          <w:rFonts w:ascii="宋体" w:hAnsi="宋体" w:cs="宋体" w:hint="eastAsia"/>
          <w:b/>
          <w:sz w:val="36"/>
          <w:szCs w:val="36"/>
        </w:rPr>
        <w:t>（征求意见稿）</w:t>
      </w:r>
    </w:p>
    <w:p w14:paraId="2541F0B9" w14:textId="77777777" w:rsidR="00B77779" w:rsidRDefault="00B77779">
      <w:pPr>
        <w:jc w:val="center"/>
        <w:rPr>
          <w:rFonts w:ascii="黑体" w:eastAsia="黑体" w:hAnsi="黑体" w:cs="黑体"/>
          <w:b/>
          <w:spacing w:val="-12"/>
          <w:sz w:val="44"/>
          <w:szCs w:val="44"/>
        </w:rPr>
      </w:pPr>
    </w:p>
    <w:p w14:paraId="6DBCBB7A" w14:textId="77777777" w:rsidR="00B77779" w:rsidRDefault="00ED1BEC">
      <w:pPr>
        <w:jc w:val="center"/>
        <w:rPr>
          <w:rFonts w:ascii="黑体" w:eastAsia="黑体" w:hAnsi="黑体" w:cs="黑体"/>
          <w:b/>
          <w:spacing w:val="-12"/>
          <w:sz w:val="48"/>
          <w:szCs w:val="48"/>
        </w:rPr>
      </w:pPr>
      <w:r>
        <w:rPr>
          <w:rFonts w:ascii="黑体" w:eastAsia="黑体" w:hAnsi="黑体" w:cs="黑体" w:hint="eastAsia"/>
          <w:b/>
          <w:spacing w:val="-12"/>
          <w:sz w:val="48"/>
          <w:szCs w:val="48"/>
        </w:rPr>
        <w:t>编</w:t>
      </w:r>
      <w:r>
        <w:rPr>
          <w:rFonts w:ascii="黑体" w:eastAsia="黑体" w:hAnsi="黑体" w:cs="黑体" w:hint="eastAsia"/>
          <w:b/>
          <w:spacing w:val="-12"/>
          <w:sz w:val="48"/>
          <w:szCs w:val="48"/>
        </w:rPr>
        <w:t xml:space="preserve"> </w:t>
      </w:r>
      <w:r>
        <w:rPr>
          <w:rFonts w:ascii="黑体" w:eastAsia="黑体" w:hAnsi="黑体" w:cs="黑体" w:hint="eastAsia"/>
          <w:b/>
          <w:spacing w:val="-12"/>
          <w:sz w:val="48"/>
          <w:szCs w:val="48"/>
        </w:rPr>
        <w:t>制</w:t>
      </w:r>
      <w:r>
        <w:rPr>
          <w:rFonts w:ascii="黑体" w:eastAsia="黑体" w:hAnsi="黑体" w:cs="黑体" w:hint="eastAsia"/>
          <w:b/>
          <w:spacing w:val="-12"/>
          <w:sz w:val="48"/>
          <w:szCs w:val="48"/>
        </w:rPr>
        <w:t xml:space="preserve"> </w:t>
      </w:r>
      <w:r>
        <w:rPr>
          <w:rFonts w:ascii="黑体" w:eastAsia="黑体" w:hAnsi="黑体" w:cs="黑体" w:hint="eastAsia"/>
          <w:b/>
          <w:spacing w:val="-12"/>
          <w:sz w:val="48"/>
          <w:szCs w:val="48"/>
        </w:rPr>
        <w:t>说</w:t>
      </w:r>
      <w:r>
        <w:rPr>
          <w:rFonts w:ascii="黑体" w:eastAsia="黑体" w:hAnsi="黑体" w:cs="黑体" w:hint="eastAsia"/>
          <w:b/>
          <w:spacing w:val="-12"/>
          <w:sz w:val="48"/>
          <w:szCs w:val="48"/>
        </w:rPr>
        <w:t xml:space="preserve"> </w:t>
      </w:r>
      <w:r>
        <w:rPr>
          <w:rFonts w:ascii="黑体" w:eastAsia="黑体" w:hAnsi="黑体" w:cs="黑体" w:hint="eastAsia"/>
          <w:b/>
          <w:spacing w:val="-12"/>
          <w:sz w:val="48"/>
          <w:szCs w:val="48"/>
        </w:rPr>
        <w:t>明</w:t>
      </w:r>
    </w:p>
    <w:p w14:paraId="7C712217" w14:textId="77777777" w:rsidR="00B77779" w:rsidRDefault="00B77779">
      <w:pPr>
        <w:autoSpaceDE w:val="0"/>
        <w:autoSpaceDN w:val="0"/>
        <w:adjustRightInd w:val="0"/>
        <w:jc w:val="center"/>
        <w:rPr>
          <w:rFonts w:ascii="黑体" w:eastAsia="黑体" w:hAnsi="黑体" w:cs="黑体"/>
          <w:b/>
          <w:sz w:val="52"/>
          <w:szCs w:val="52"/>
        </w:rPr>
      </w:pPr>
    </w:p>
    <w:p w14:paraId="1B35C66B" w14:textId="77777777" w:rsidR="00B77779" w:rsidRDefault="00B77779">
      <w:pPr>
        <w:autoSpaceDE w:val="0"/>
        <w:autoSpaceDN w:val="0"/>
        <w:adjustRightInd w:val="0"/>
        <w:jc w:val="center"/>
        <w:rPr>
          <w:rFonts w:ascii="宋体" w:hAnsi="宋体" w:cs="宋体"/>
          <w:b/>
          <w:sz w:val="36"/>
          <w:szCs w:val="36"/>
        </w:rPr>
      </w:pPr>
    </w:p>
    <w:p w14:paraId="7909A64C" w14:textId="77777777" w:rsidR="00B77779" w:rsidRDefault="00B77779">
      <w:pPr>
        <w:autoSpaceDE w:val="0"/>
        <w:autoSpaceDN w:val="0"/>
        <w:adjustRightInd w:val="0"/>
        <w:jc w:val="center"/>
        <w:rPr>
          <w:rFonts w:ascii="宋体" w:hAnsi="宋体" w:cs="宋体"/>
          <w:b/>
          <w:sz w:val="36"/>
          <w:szCs w:val="36"/>
        </w:rPr>
      </w:pPr>
    </w:p>
    <w:p w14:paraId="023DB0FE" w14:textId="77777777" w:rsidR="00B77779" w:rsidRDefault="00B77779">
      <w:pPr>
        <w:autoSpaceDE w:val="0"/>
        <w:autoSpaceDN w:val="0"/>
        <w:adjustRightInd w:val="0"/>
        <w:jc w:val="center"/>
        <w:rPr>
          <w:rFonts w:ascii="宋体" w:hAnsi="宋体" w:cs="宋体"/>
          <w:b/>
          <w:sz w:val="36"/>
          <w:szCs w:val="36"/>
        </w:rPr>
      </w:pPr>
    </w:p>
    <w:p w14:paraId="13BBABA9" w14:textId="77777777" w:rsidR="00B77779" w:rsidRDefault="00B77779">
      <w:pPr>
        <w:autoSpaceDE w:val="0"/>
        <w:autoSpaceDN w:val="0"/>
        <w:adjustRightInd w:val="0"/>
        <w:jc w:val="center"/>
        <w:rPr>
          <w:rFonts w:ascii="宋体" w:hAnsi="宋体" w:cs="宋体"/>
          <w:b/>
          <w:sz w:val="36"/>
          <w:szCs w:val="36"/>
        </w:rPr>
      </w:pPr>
    </w:p>
    <w:p w14:paraId="21B52C65" w14:textId="77777777" w:rsidR="00B77779" w:rsidRDefault="00B77779">
      <w:pPr>
        <w:autoSpaceDE w:val="0"/>
        <w:autoSpaceDN w:val="0"/>
        <w:adjustRightInd w:val="0"/>
        <w:jc w:val="center"/>
        <w:rPr>
          <w:rFonts w:ascii="宋体" w:hAnsi="宋体" w:cs="宋体"/>
          <w:b/>
          <w:sz w:val="36"/>
          <w:szCs w:val="36"/>
        </w:rPr>
      </w:pPr>
    </w:p>
    <w:p w14:paraId="3E74D970" w14:textId="77777777" w:rsidR="00B77779" w:rsidRDefault="00B77779">
      <w:pPr>
        <w:autoSpaceDE w:val="0"/>
        <w:autoSpaceDN w:val="0"/>
        <w:adjustRightInd w:val="0"/>
        <w:jc w:val="center"/>
        <w:rPr>
          <w:rFonts w:ascii="宋体" w:hAnsi="宋体" w:cs="宋体"/>
          <w:b/>
          <w:sz w:val="36"/>
          <w:szCs w:val="36"/>
        </w:rPr>
      </w:pPr>
    </w:p>
    <w:p w14:paraId="23C660C0" w14:textId="77777777" w:rsidR="00B77779" w:rsidRDefault="00ED1BEC">
      <w:pPr>
        <w:autoSpaceDE w:val="0"/>
        <w:autoSpaceDN w:val="0"/>
        <w:adjustRightInd w:val="0"/>
        <w:jc w:val="center"/>
        <w:rPr>
          <w:rFonts w:ascii="宋体" w:hAnsi="宋体" w:cs="宋体"/>
          <w:b/>
          <w:sz w:val="36"/>
          <w:szCs w:val="36"/>
        </w:rPr>
      </w:pPr>
      <w:r>
        <w:rPr>
          <w:rFonts w:ascii="宋体" w:hAnsi="宋体" w:cs="宋体" w:hint="eastAsia"/>
          <w:b/>
          <w:color w:val="000000"/>
          <w:sz w:val="36"/>
          <w:szCs w:val="36"/>
          <w:shd w:val="clear" w:color="auto" w:fill="FFFFFF"/>
        </w:rPr>
        <w:t>本文件编写组</w:t>
      </w:r>
    </w:p>
    <w:p w14:paraId="0C7A6F09" w14:textId="77777777" w:rsidR="00B77779" w:rsidRDefault="00B77779">
      <w:pPr>
        <w:autoSpaceDE w:val="0"/>
        <w:autoSpaceDN w:val="0"/>
        <w:adjustRightInd w:val="0"/>
        <w:jc w:val="center"/>
        <w:rPr>
          <w:rFonts w:ascii="宋体" w:hAnsi="宋体" w:cs="宋体"/>
          <w:b/>
          <w:sz w:val="36"/>
          <w:szCs w:val="36"/>
        </w:rPr>
      </w:pPr>
    </w:p>
    <w:p w14:paraId="5002521C" w14:textId="7AF6BD32" w:rsidR="00B77779" w:rsidRDefault="00ED1BEC">
      <w:pPr>
        <w:autoSpaceDE w:val="0"/>
        <w:autoSpaceDN w:val="0"/>
        <w:adjustRightInd w:val="0"/>
        <w:jc w:val="center"/>
        <w:rPr>
          <w:rFonts w:ascii="宋体" w:hAnsi="宋体" w:cs="宋体"/>
          <w:b/>
          <w:sz w:val="36"/>
          <w:szCs w:val="36"/>
        </w:rPr>
      </w:pPr>
      <w:r>
        <w:rPr>
          <w:rFonts w:ascii="宋体" w:hAnsi="宋体" w:cs="宋体" w:hint="eastAsia"/>
          <w:b/>
          <w:sz w:val="36"/>
          <w:szCs w:val="36"/>
        </w:rPr>
        <w:t>二〇二一年</w:t>
      </w:r>
      <w:r w:rsidR="00CE72E5">
        <w:rPr>
          <w:rFonts w:ascii="宋体" w:hAnsi="宋体" w:cs="宋体" w:hint="eastAsia"/>
          <w:b/>
          <w:sz w:val="36"/>
          <w:szCs w:val="36"/>
        </w:rPr>
        <w:t>十</w:t>
      </w:r>
      <w:r>
        <w:rPr>
          <w:rFonts w:ascii="宋体" w:hAnsi="宋体" w:cs="宋体" w:hint="eastAsia"/>
          <w:b/>
          <w:sz w:val="36"/>
          <w:szCs w:val="36"/>
        </w:rPr>
        <w:t>月</w:t>
      </w:r>
    </w:p>
    <w:p w14:paraId="0414CB9A" w14:textId="77777777" w:rsidR="00B77779" w:rsidRDefault="00B77779">
      <w:pPr>
        <w:spacing w:line="440" w:lineRule="exact"/>
        <w:rPr>
          <w:rFonts w:eastAsia="仿宋_GB2312"/>
          <w:b/>
          <w:bCs/>
          <w:sz w:val="44"/>
        </w:rPr>
        <w:sectPr w:rsidR="00B77779">
          <w:footerReference w:type="even" r:id="rId9"/>
          <w:pgSz w:w="11906" w:h="16838"/>
          <w:pgMar w:top="1440" w:right="1800" w:bottom="1440" w:left="1800" w:header="851" w:footer="992" w:gutter="0"/>
          <w:pgNumType w:start="1"/>
          <w:cols w:space="425"/>
          <w:docGrid w:type="lines" w:linePitch="312"/>
        </w:sectPr>
      </w:pPr>
    </w:p>
    <w:p w14:paraId="2CD374BD" w14:textId="77777777" w:rsidR="00B77779" w:rsidRDefault="00B77779">
      <w:pPr>
        <w:spacing w:beforeLines="100" w:before="312"/>
        <w:jc w:val="center"/>
        <w:rPr>
          <w:rFonts w:ascii="黑体" w:eastAsia="黑体" w:hAnsi="黑体" w:cs="黑体"/>
          <w:b/>
          <w:spacing w:val="-12"/>
          <w:sz w:val="48"/>
          <w:szCs w:val="48"/>
        </w:rPr>
        <w:sectPr w:rsidR="00B77779">
          <w:footerReference w:type="default" r:id="rId10"/>
          <w:type w:val="continuous"/>
          <w:pgSz w:w="11906" w:h="16838"/>
          <w:pgMar w:top="1440" w:right="1800" w:bottom="1440" w:left="1800" w:header="851" w:footer="992" w:gutter="0"/>
          <w:pgNumType w:start="1"/>
          <w:cols w:space="425"/>
          <w:docGrid w:type="lines" w:linePitch="312"/>
        </w:sectPr>
      </w:pPr>
    </w:p>
    <w:p w14:paraId="47324D6D" w14:textId="77777777" w:rsidR="00B77779" w:rsidRDefault="00ED1BEC">
      <w:pPr>
        <w:autoSpaceDE w:val="0"/>
        <w:autoSpaceDN w:val="0"/>
        <w:adjustRightInd w:val="0"/>
        <w:spacing w:beforeLines="100" w:before="312"/>
        <w:ind w:firstLineChars="600" w:firstLine="2640"/>
        <w:rPr>
          <w:rFonts w:ascii="黑体" w:eastAsia="黑体" w:hAnsi="黑体" w:cs="黑体"/>
          <w:sz w:val="44"/>
          <w:szCs w:val="44"/>
        </w:rPr>
      </w:pPr>
      <w:r>
        <w:rPr>
          <w:rFonts w:ascii="黑体" w:eastAsia="黑体" w:hAnsi="黑体" w:cs="黑体" w:hint="eastAsia"/>
          <w:sz w:val="44"/>
          <w:szCs w:val="44"/>
        </w:rPr>
        <w:lastRenderedPageBreak/>
        <w:t>企业</w:t>
      </w:r>
      <w:r>
        <w:rPr>
          <w:rFonts w:ascii="黑体" w:eastAsia="黑体" w:hAnsi="黑体" w:cs="黑体" w:hint="eastAsia"/>
          <w:sz w:val="44"/>
          <w:szCs w:val="44"/>
        </w:rPr>
        <w:t>慈善</w:t>
      </w:r>
      <w:r>
        <w:rPr>
          <w:rFonts w:ascii="黑体" w:eastAsia="黑体" w:hAnsi="黑体" w:cs="黑体" w:hint="eastAsia"/>
          <w:sz w:val="44"/>
          <w:szCs w:val="44"/>
        </w:rPr>
        <w:t>捐赠指引</w:t>
      </w:r>
    </w:p>
    <w:p w14:paraId="6FD13579" w14:textId="77777777" w:rsidR="00B77779" w:rsidRDefault="00ED1BEC">
      <w:pPr>
        <w:jc w:val="center"/>
        <w:rPr>
          <w:rFonts w:ascii="黑体" w:eastAsia="黑体" w:hAnsi="黑体" w:cs="黑体"/>
          <w:b/>
          <w:spacing w:val="-12"/>
          <w:sz w:val="36"/>
          <w:szCs w:val="36"/>
        </w:rPr>
      </w:pPr>
      <w:r>
        <w:rPr>
          <w:rFonts w:ascii="宋体" w:hAnsi="宋体" w:cs="宋体" w:hint="eastAsia"/>
          <w:b/>
          <w:sz w:val="36"/>
          <w:szCs w:val="36"/>
        </w:rPr>
        <w:t>（征求意见稿）</w:t>
      </w:r>
    </w:p>
    <w:p w14:paraId="47FD4BDB" w14:textId="77777777" w:rsidR="00B77779" w:rsidRDefault="00ED1BEC">
      <w:pPr>
        <w:spacing w:beforeLines="100" w:before="312"/>
        <w:jc w:val="center"/>
        <w:rPr>
          <w:rFonts w:ascii="黑体" w:eastAsia="黑体" w:hAnsi="黑体" w:cs="黑体"/>
          <w:b/>
          <w:spacing w:val="-12"/>
          <w:sz w:val="48"/>
          <w:szCs w:val="48"/>
        </w:rPr>
      </w:pPr>
      <w:r>
        <w:rPr>
          <w:rFonts w:ascii="黑体" w:eastAsia="黑体" w:hAnsi="黑体" w:cs="黑体" w:hint="eastAsia"/>
          <w:b/>
          <w:spacing w:val="-12"/>
          <w:sz w:val="48"/>
          <w:szCs w:val="48"/>
        </w:rPr>
        <w:t>编</w:t>
      </w:r>
      <w:r>
        <w:rPr>
          <w:rFonts w:ascii="黑体" w:eastAsia="黑体" w:hAnsi="黑体" w:cs="黑体" w:hint="eastAsia"/>
          <w:b/>
          <w:spacing w:val="-12"/>
          <w:sz w:val="48"/>
          <w:szCs w:val="48"/>
        </w:rPr>
        <w:t xml:space="preserve"> </w:t>
      </w:r>
      <w:r>
        <w:rPr>
          <w:rFonts w:ascii="黑体" w:eastAsia="黑体" w:hAnsi="黑体" w:cs="黑体" w:hint="eastAsia"/>
          <w:b/>
          <w:spacing w:val="-12"/>
          <w:sz w:val="48"/>
          <w:szCs w:val="48"/>
        </w:rPr>
        <w:t>制</w:t>
      </w:r>
      <w:r>
        <w:rPr>
          <w:rFonts w:ascii="黑体" w:eastAsia="黑体" w:hAnsi="黑体" w:cs="黑体" w:hint="eastAsia"/>
          <w:b/>
          <w:spacing w:val="-12"/>
          <w:sz w:val="48"/>
          <w:szCs w:val="48"/>
        </w:rPr>
        <w:t xml:space="preserve"> </w:t>
      </w:r>
      <w:r>
        <w:rPr>
          <w:rFonts w:ascii="黑体" w:eastAsia="黑体" w:hAnsi="黑体" w:cs="黑体" w:hint="eastAsia"/>
          <w:b/>
          <w:spacing w:val="-12"/>
          <w:sz w:val="48"/>
          <w:szCs w:val="48"/>
        </w:rPr>
        <w:t>说</w:t>
      </w:r>
      <w:r>
        <w:rPr>
          <w:rFonts w:ascii="黑体" w:eastAsia="黑体" w:hAnsi="黑体" w:cs="黑体" w:hint="eastAsia"/>
          <w:b/>
          <w:spacing w:val="-12"/>
          <w:sz w:val="48"/>
          <w:szCs w:val="48"/>
        </w:rPr>
        <w:t xml:space="preserve"> </w:t>
      </w:r>
      <w:r>
        <w:rPr>
          <w:rFonts w:ascii="黑体" w:eastAsia="黑体" w:hAnsi="黑体" w:cs="黑体" w:hint="eastAsia"/>
          <w:b/>
          <w:spacing w:val="-12"/>
          <w:sz w:val="48"/>
          <w:szCs w:val="48"/>
        </w:rPr>
        <w:t>明</w:t>
      </w:r>
    </w:p>
    <w:p w14:paraId="5B53F5C9" w14:textId="77777777" w:rsidR="00B77779" w:rsidRDefault="00B77779">
      <w:pPr>
        <w:spacing w:line="440" w:lineRule="exact"/>
        <w:jc w:val="center"/>
        <w:rPr>
          <w:rFonts w:eastAsia="仿宋_GB2312"/>
          <w:b/>
          <w:bCs/>
          <w:sz w:val="44"/>
        </w:rPr>
      </w:pPr>
    </w:p>
    <w:p w14:paraId="3F090912" w14:textId="77777777" w:rsidR="00B77779" w:rsidRPr="00CE72E5" w:rsidRDefault="00ED1BEC" w:rsidP="00CE72E5">
      <w:pPr>
        <w:pStyle w:val="aa"/>
        <w:spacing w:line="360" w:lineRule="auto"/>
        <w:ind w:firstLineChars="100" w:firstLine="321"/>
        <w:rPr>
          <w:rFonts w:ascii="仿宋" w:eastAsia="仿宋" w:hAnsi="仿宋"/>
          <w:b/>
          <w:color w:val="000000"/>
          <w:sz w:val="32"/>
          <w:szCs w:val="32"/>
        </w:rPr>
      </w:pPr>
      <w:r w:rsidRPr="00CE72E5">
        <w:rPr>
          <w:rFonts w:ascii="仿宋" w:eastAsia="仿宋" w:hAnsi="仿宋" w:hint="eastAsia"/>
          <w:b/>
          <w:color w:val="000000"/>
          <w:sz w:val="32"/>
          <w:szCs w:val="32"/>
        </w:rPr>
        <w:t>一、</w:t>
      </w:r>
      <w:r w:rsidRPr="00CE72E5">
        <w:rPr>
          <w:rFonts w:ascii="仿宋" w:eastAsia="仿宋" w:hAnsi="仿宋" w:hint="eastAsia"/>
          <w:b/>
          <w:color w:val="000000"/>
          <w:sz w:val="32"/>
          <w:szCs w:val="32"/>
        </w:rPr>
        <w:t>任务来源</w:t>
      </w:r>
    </w:p>
    <w:p w14:paraId="1D521E6A" w14:textId="31CC777D" w:rsidR="00B77779" w:rsidRPr="00CE72E5" w:rsidRDefault="00ED1BEC" w:rsidP="00CE72E5">
      <w:pPr>
        <w:adjustRightInd w:val="0"/>
        <w:snapToGrid w:val="0"/>
        <w:spacing w:line="360" w:lineRule="auto"/>
        <w:ind w:firstLineChars="200" w:firstLine="624"/>
        <w:rPr>
          <w:rFonts w:ascii="仿宋" w:eastAsia="仿宋" w:hAnsi="仿宋" w:cs="方正仿宋_GB2312" w:hint="eastAsia"/>
          <w:color w:val="000000"/>
          <w:spacing w:val="-4"/>
          <w:sz w:val="32"/>
          <w:szCs w:val="32"/>
          <w:lang w:val="zh-CN"/>
        </w:rPr>
      </w:pPr>
      <w:r w:rsidRPr="00CE72E5">
        <w:rPr>
          <w:rFonts w:ascii="仿宋" w:eastAsia="仿宋" w:hAnsi="仿宋" w:cs="方正仿宋_GB2312" w:hint="eastAsia"/>
          <w:color w:val="000000"/>
          <w:spacing w:val="-4"/>
          <w:sz w:val="32"/>
          <w:szCs w:val="32"/>
        </w:rPr>
        <w:t>《企业慈善捐赠指引》（以下简称“本指引”）的任务需求，由北京明慈社会组织能力建设促进中心提出。北京明慈社会组织能力建设促进中心在多年的评估工作过程中，注意到很多企业对慈善事业是抱有很高热情的，但他们缺乏系统的慈善管理所需的现代管理规范。在企业自身发展方面</w:t>
      </w:r>
      <w:r w:rsidRPr="00CE72E5">
        <w:rPr>
          <w:rFonts w:ascii="仿宋" w:eastAsia="仿宋" w:hAnsi="仿宋" w:cs="方正仿宋_GB2312" w:hint="eastAsia"/>
          <w:color w:val="000000"/>
          <w:spacing w:val="-4"/>
          <w:sz w:val="32"/>
          <w:szCs w:val="32"/>
          <w:lang w:val="zh-CN"/>
        </w:rPr>
        <w:t>，越来越多的企业将履行企业慈善责任上升到企业发展战略层面，视为企业可持续发展的必要构成，积极参与促进我国慈善事业发展。</w:t>
      </w:r>
    </w:p>
    <w:p w14:paraId="7265960E" w14:textId="77777777" w:rsidR="00B77779" w:rsidRPr="00CE72E5" w:rsidRDefault="00ED1BEC" w:rsidP="00CE72E5">
      <w:pPr>
        <w:adjustRightInd w:val="0"/>
        <w:snapToGrid w:val="0"/>
        <w:spacing w:line="360" w:lineRule="auto"/>
        <w:ind w:firstLineChars="200" w:firstLine="624"/>
        <w:rPr>
          <w:rFonts w:ascii="仿宋" w:eastAsia="仿宋" w:hAnsi="仿宋" w:cs="仿宋"/>
          <w:color w:val="000000"/>
          <w:spacing w:val="-4"/>
          <w:sz w:val="32"/>
          <w:szCs w:val="32"/>
        </w:rPr>
      </w:pPr>
      <w:r w:rsidRPr="00CE72E5">
        <w:rPr>
          <w:rFonts w:ascii="仿宋" w:eastAsia="仿宋" w:hAnsi="仿宋" w:cs="仿宋" w:hint="eastAsia"/>
          <w:color w:val="000000"/>
          <w:spacing w:val="-4"/>
          <w:sz w:val="32"/>
          <w:szCs w:val="32"/>
        </w:rPr>
        <w:t>2021</w:t>
      </w:r>
      <w:r w:rsidRPr="00CE72E5">
        <w:rPr>
          <w:rFonts w:ascii="仿宋" w:eastAsia="仿宋" w:hAnsi="仿宋" w:cs="仿宋" w:hint="eastAsia"/>
          <w:color w:val="000000"/>
          <w:spacing w:val="-4"/>
          <w:sz w:val="32"/>
          <w:szCs w:val="32"/>
        </w:rPr>
        <w:t>年</w:t>
      </w:r>
      <w:r w:rsidRPr="00CE72E5">
        <w:rPr>
          <w:rFonts w:ascii="仿宋" w:eastAsia="仿宋" w:hAnsi="仿宋" w:cs="仿宋" w:hint="eastAsia"/>
          <w:color w:val="000000"/>
          <w:spacing w:val="-4"/>
          <w:sz w:val="32"/>
          <w:szCs w:val="32"/>
        </w:rPr>
        <w:t>8</w:t>
      </w:r>
      <w:r w:rsidRPr="00CE72E5">
        <w:rPr>
          <w:rFonts w:ascii="仿宋" w:eastAsia="仿宋" w:hAnsi="仿宋" w:cs="仿宋" w:hint="eastAsia"/>
          <w:color w:val="000000"/>
          <w:spacing w:val="-4"/>
          <w:sz w:val="32"/>
          <w:szCs w:val="32"/>
        </w:rPr>
        <w:t>月</w:t>
      </w:r>
      <w:r w:rsidRPr="00CE72E5">
        <w:rPr>
          <w:rFonts w:ascii="仿宋" w:eastAsia="仿宋" w:hAnsi="仿宋" w:cs="仿宋" w:hint="eastAsia"/>
          <w:color w:val="000000"/>
          <w:spacing w:val="-4"/>
          <w:sz w:val="32"/>
          <w:szCs w:val="32"/>
        </w:rPr>
        <w:t>17</w:t>
      </w:r>
      <w:r w:rsidRPr="00CE72E5">
        <w:rPr>
          <w:rFonts w:ascii="仿宋" w:eastAsia="仿宋" w:hAnsi="仿宋" w:cs="仿宋" w:hint="eastAsia"/>
          <w:color w:val="000000"/>
          <w:spacing w:val="-4"/>
          <w:sz w:val="32"/>
          <w:szCs w:val="32"/>
        </w:rPr>
        <w:t>日，中央财经委员会第十次会议指出，要坚持以人民为中心的发展思想，在高质量发展中促进共同富裕，正确处理效率和公平的关系</w:t>
      </w:r>
      <w:r w:rsidRPr="00CE72E5">
        <w:rPr>
          <w:rFonts w:ascii="仿宋" w:eastAsia="仿宋" w:hAnsi="仿宋" w:cs="仿宋" w:hint="eastAsia"/>
          <w:color w:val="000000"/>
          <w:spacing w:val="-4"/>
          <w:sz w:val="32"/>
          <w:szCs w:val="32"/>
        </w:rPr>
        <w:t>，构建初次分配、再分配、三次分配协调配套的基础性制度安排，加大税收、社保、转移支付等调节力度并提高精准性，扩大中等收入群体比重，增加低收入群体收入，合理调节高收入，取缔非法收入，形成中间大、两头小的橄榄</w:t>
      </w:r>
      <w:proofErr w:type="gramStart"/>
      <w:r w:rsidRPr="00CE72E5">
        <w:rPr>
          <w:rFonts w:ascii="仿宋" w:eastAsia="仿宋" w:hAnsi="仿宋" w:cs="仿宋" w:hint="eastAsia"/>
          <w:color w:val="000000"/>
          <w:spacing w:val="-4"/>
          <w:sz w:val="32"/>
          <w:szCs w:val="32"/>
        </w:rPr>
        <w:t>型分配</w:t>
      </w:r>
      <w:proofErr w:type="gramEnd"/>
      <w:r w:rsidRPr="00CE72E5">
        <w:rPr>
          <w:rFonts w:ascii="仿宋" w:eastAsia="仿宋" w:hAnsi="仿宋" w:cs="仿宋" w:hint="eastAsia"/>
          <w:color w:val="000000"/>
          <w:spacing w:val="-4"/>
          <w:sz w:val="32"/>
          <w:szCs w:val="32"/>
        </w:rPr>
        <w:t>结构，促进社会公平正义，促进人的全面发展，使全体人民朝着共同富裕目标扎实迈进三次分配，有别于</w:t>
      </w:r>
      <w:hyperlink r:id="rId11" w:tgtFrame="https://baike.baidu.com/item/%E4%B8%89%E6%AC%A1%E5%88%86%E9%85%8D/_blank" w:history="1">
        <w:r w:rsidRPr="00CE72E5">
          <w:rPr>
            <w:rFonts w:ascii="仿宋" w:eastAsia="仿宋" w:hAnsi="仿宋" w:cs="仿宋" w:hint="eastAsia"/>
            <w:color w:val="000000"/>
            <w:spacing w:val="-4"/>
            <w:sz w:val="32"/>
            <w:szCs w:val="32"/>
          </w:rPr>
          <w:t>初次分配</w:t>
        </w:r>
      </w:hyperlink>
      <w:r w:rsidRPr="00CE72E5">
        <w:rPr>
          <w:rFonts w:ascii="仿宋" w:eastAsia="仿宋" w:hAnsi="仿宋" w:cs="仿宋" w:hint="eastAsia"/>
          <w:color w:val="000000"/>
          <w:spacing w:val="-4"/>
          <w:sz w:val="32"/>
          <w:szCs w:val="32"/>
        </w:rPr>
        <w:t>和</w:t>
      </w:r>
      <w:hyperlink r:id="rId12" w:tgtFrame="https://baike.baidu.com/item/%E4%B8%89%E6%AC%A1%E5%88%86%E9%85%8D/_blank" w:history="1">
        <w:r w:rsidRPr="00CE72E5">
          <w:rPr>
            <w:rFonts w:ascii="仿宋" w:eastAsia="仿宋" w:hAnsi="仿宋" w:cs="仿宋" w:hint="eastAsia"/>
            <w:color w:val="000000"/>
            <w:spacing w:val="-4"/>
            <w:sz w:val="32"/>
            <w:szCs w:val="32"/>
          </w:rPr>
          <w:t>再分配</w:t>
        </w:r>
      </w:hyperlink>
      <w:r w:rsidRPr="00CE72E5">
        <w:rPr>
          <w:rFonts w:ascii="仿宋" w:eastAsia="仿宋" w:hAnsi="仿宋" w:cs="仿宋" w:hint="eastAsia"/>
          <w:color w:val="000000"/>
          <w:spacing w:val="-4"/>
          <w:sz w:val="32"/>
          <w:szCs w:val="32"/>
        </w:rPr>
        <w:t>，主要由高收入人群在自愿基础上，以募集、</w:t>
      </w:r>
      <w:r w:rsidRPr="00CE72E5">
        <w:rPr>
          <w:rFonts w:ascii="仿宋" w:eastAsia="仿宋" w:hAnsi="仿宋" w:cs="仿宋" w:hint="eastAsia"/>
          <w:color w:val="000000"/>
          <w:spacing w:val="-4"/>
          <w:sz w:val="32"/>
          <w:szCs w:val="32"/>
        </w:rPr>
        <w:lastRenderedPageBreak/>
        <w:t>捐赠和资助</w:t>
      </w:r>
      <w:r w:rsidRPr="00CE72E5">
        <w:rPr>
          <w:rFonts w:ascii="仿宋" w:eastAsia="仿宋" w:hAnsi="仿宋" w:cs="仿宋" w:hint="eastAsia"/>
          <w:color w:val="000000"/>
          <w:spacing w:val="-4"/>
          <w:sz w:val="32"/>
          <w:szCs w:val="32"/>
        </w:rPr>
        <w:t>等慈善公益方式对社会资源和社会财富进行分配，是对初次分配和再分配的有益补充，有利于缩小社会差距，实现更合理的收入分配。</w:t>
      </w:r>
    </w:p>
    <w:p w14:paraId="577C4DD3" w14:textId="0C10CA8F" w:rsidR="00B77779" w:rsidRPr="00CE72E5" w:rsidRDefault="00ED1BEC" w:rsidP="00CE72E5">
      <w:pPr>
        <w:adjustRightInd w:val="0"/>
        <w:snapToGrid w:val="0"/>
        <w:spacing w:line="360" w:lineRule="auto"/>
        <w:ind w:firstLineChars="200" w:firstLine="624"/>
        <w:rPr>
          <w:rFonts w:ascii="仿宋" w:eastAsia="仿宋" w:hAnsi="仿宋" w:cs="方正仿宋_GB2312"/>
          <w:color w:val="000000"/>
          <w:spacing w:val="-4"/>
          <w:sz w:val="32"/>
          <w:szCs w:val="32"/>
          <w:lang w:val="zh-CN"/>
        </w:rPr>
      </w:pPr>
      <w:r w:rsidRPr="00CE72E5">
        <w:rPr>
          <w:rFonts w:ascii="仿宋" w:eastAsia="仿宋" w:hAnsi="仿宋" w:cs="方正仿宋_GB2312" w:hint="eastAsia"/>
          <w:color w:val="000000"/>
          <w:spacing w:val="-4"/>
          <w:sz w:val="32"/>
          <w:szCs w:val="32"/>
          <w:lang w:val="zh-CN"/>
        </w:rPr>
        <w:t>另一方面，企业参与慈善行业的发展也面临着许多障碍。首先，由于我国当前慈善行业信息披露机制缺失，供需信息不对称等问题，企业高涨的慈善热情和社会巨大的慈善需求难以形成有效对接，企业在实际运作中往往难以找到业务领域契合、透明高效的合作组织和项目。</w:t>
      </w:r>
    </w:p>
    <w:p w14:paraId="56C2839F" w14:textId="77777777" w:rsidR="00B77779" w:rsidRPr="00CE72E5" w:rsidRDefault="00ED1BEC" w:rsidP="00CE72E5">
      <w:pPr>
        <w:adjustRightInd w:val="0"/>
        <w:snapToGrid w:val="0"/>
        <w:spacing w:line="360" w:lineRule="auto"/>
        <w:ind w:firstLineChars="200" w:firstLine="624"/>
        <w:rPr>
          <w:rFonts w:ascii="仿宋" w:eastAsia="仿宋" w:hAnsi="仿宋" w:cs="方正仿宋_GB2312"/>
          <w:color w:val="000000"/>
          <w:spacing w:val="-4"/>
          <w:sz w:val="32"/>
          <w:szCs w:val="32"/>
          <w:lang w:val="zh-CN"/>
        </w:rPr>
      </w:pPr>
      <w:r w:rsidRPr="00CE72E5">
        <w:rPr>
          <w:rFonts w:ascii="仿宋" w:eastAsia="仿宋" w:hAnsi="仿宋" w:cs="方正仿宋_GB2312" w:hint="eastAsia"/>
          <w:color w:val="000000"/>
          <w:spacing w:val="-4"/>
          <w:sz w:val="32"/>
          <w:szCs w:val="32"/>
          <w:lang w:val="zh-CN"/>
        </w:rPr>
        <w:t>其次，在企业具体参与慈善事业中，由于专业领域的不同，企业缺乏对于慈善行业的深刻认识和开展具体业务的专业知识，企业在与合作伙伴的合作中，会影响慈善资源的使用效果，从而挫伤了企业参与慈善的热情。</w:t>
      </w:r>
    </w:p>
    <w:p w14:paraId="7F406125" w14:textId="77777777" w:rsidR="00B77779" w:rsidRPr="00CE72E5" w:rsidRDefault="00ED1BEC" w:rsidP="00CE72E5">
      <w:pPr>
        <w:adjustRightInd w:val="0"/>
        <w:snapToGrid w:val="0"/>
        <w:spacing w:line="360" w:lineRule="auto"/>
        <w:ind w:firstLineChars="200" w:firstLine="624"/>
        <w:rPr>
          <w:rFonts w:ascii="仿宋" w:eastAsia="仿宋" w:hAnsi="仿宋"/>
          <w:b/>
          <w:color w:val="000000"/>
          <w:sz w:val="32"/>
          <w:szCs w:val="32"/>
        </w:rPr>
      </w:pPr>
      <w:r w:rsidRPr="00CE72E5">
        <w:rPr>
          <w:rFonts w:ascii="仿宋" w:eastAsia="仿宋" w:hAnsi="仿宋" w:cs="方正仿宋_GB2312" w:hint="eastAsia"/>
          <w:color w:val="000000"/>
          <w:spacing w:val="-4"/>
          <w:sz w:val="32"/>
          <w:szCs w:val="32"/>
          <w:lang w:val="zh-CN"/>
        </w:rPr>
        <w:t>另外，在企业进行慈善相关决策时，由于我国企业参与慈善的经验较少，还没有形成成熟的决策机制，往往使得企业的慈善决策缺乏连续性和创新性，影响了企业投入慈善行业资源的使用效果。</w:t>
      </w:r>
    </w:p>
    <w:p w14:paraId="63DBC858" w14:textId="77777777" w:rsidR="00B77779" w:rsidRPr="00CE72E5" w:rsidRDefault="00ED1BEC" w:rsidP="00CE72E5">
      <w:pPr>
        <w:pStyle w:val="aa"/>
        <w:spacing w:line="360" w:lineRule="auto"/>
        <w:ind w:firstLineChars="100" w:firstLine="321"/>
        <w:rPr>
          <w:rFonts w:ascii="仿宋" w:eastAsia="仿宋" w:hAnsi="仿宋"/>
          <w:b/>
          <w:color w:val="000000"/>
          <w:sz w:val="32"/>
          <w:szCs w:val="32"/>
        </w:rPr>
      </w:pPr>
      <w:r w:rsidRPr="00CE72E5">
        <w:rPr>
          <w:rFonts w:ascii="仿宋" w:eastAsia="仿宋" w:hAnsi="仿宋" w:hint="eastAsia"/>
          <w:b/>
          <w:color w:val="000000"/>
          <w:sz w:val="32"/>
          <w:szCs w:val="32"/>
        </w:rPr>
        <w:t>二、制定标准的必要性</w:t>
      </w:r>
    </w:p>
    <w:p w14:paraId="01A1B436" w14:textId="77777777" w:rsidR="00B77779" w:rsidRPr="00CE72E5" w:rsidRDefault="00ED1BEC" w:rsidP="00CE72E5">
      <w:pPr>
        <w:adjustRightInd w:val="0"/>
        <w:snapToGrid w:val="0"/>
        <w:spacing w:line="360" w:lineRule="auto"/>
        <w:ind w:firstLineChars="200" w:firstLine="640"/>
        <w:rPr>
          <w:rFonts w:ascii="仿宋" w:eastAsia="仿宋" w:hAnsi="仿宋" w:cs="宋体"/>
          <w:kern w:val="0"/>
          <w:sz w:val="32"/>
          <w:szCs w:val="32"/>
        </w:rPr>
      </w:pPr>
      <w:r w:rsidRPr="00CE72E5">
        <w:rPr>
          <w:rFonts w:ascii="仿宋" w:eastAsia="仿宋" w:hAnsi="仿宋" w:cs="宋体" w:hint="eastAsia"/>
          <w:kern w:val="0"/>
          <w:sz w:val="32"/>
          <w:szCs w:val="32"/>
        </w:rPr>
        <w:t>本指引</w:t>
      </w:r>
      <w:r w:rsidRPr="00CE72E5">
        <w:rPr>
          <w:rFonts w:ascii="仿宋" w:eastAsia="仿宋" w:hAnsi="仿宋" w:cs="宋体" w:hint="eastAsia"/>
          <w:kern w:val="0"/>
          <w:sz w:val="32"/>
          <w:szCs w:val="32"/>
        </w:rPr>
        <w:t>基于以上背景，希望通过本指引，企业能与慈善行业之间建立可持续的伙伴</w:t>
      </w:r>
      <w:r w:rsidRPr="00CE72E5">
        <w:rPr>
          <w:rFonts w:ascii="仿宋" w:eastAsia="仿宋" w:hAnsi="仿宋" w:hint="eastAsia"/>
          <w:sz w:val="32"/>
          <w:szCs w:val="32"/>
        </w:rPr>
        <w:t>关系，共同面对当今众多的复杂社会问题，通过整合企业资源</w:t>
      </w:r>
      <w:r w:rsidRPr="00CE72E5">
        <w:rPr>
          <w:rFonts w:ascii="仿宋" w:eastAsia="仿宋" w:hAnsi="仿宋" w:hint="eastAsia"/>
          <w:sz w:val="32"/>
          <w:szCs w:val="32"/>
        </w:rPr>
        <w:t>和慈善资源，创新性地解决社会问题。</w:t>
      </w:r>
    </w:p>
    <w:p w14:paraId="7B4D37E6" w14:textId="7B3782BF" w:rsidR="00B77779" w:rsidRPr="00CE72E5" w:rsidRDefault="00ED1BEC" w:rsidP="00CE72E5">
      <w:pPr>
        <w:adjustRightInd w:val="0"/>
        <w:snapToGrid w:val="0"/>
        <w:spacing w:line="360" w:lineRule="auto"/>
        <w:ind w:firstLineChars="200" w:firstLine="640"/>
        <w:rPr>
          <w:rFonts w:ascii="仿宋" w:eastAsia="仿宋" w:hAnsi="仿宋" w:cs="宋体" w:hint="eastAsia"/>
          <w:kern w:val="0"/>
          <w:sz w:val="32"/>
          <w:szCs w:val="32"/>
        </w:rPr>
      </w:pPr>
      <w:r w:rsidRPr="00CE72E5">
        <w:rPr>
          <w:rFonts w:ascii="仿宋" w:eastAsia="仿宋" w:hAnsi="仿宋" w:cs="宋体" w:hint="eastAsia"/>
          <w:kern w:val="0"/>
          <w:sz w:val="32"/>
          <w:szCs w:val="32"/>
        </w:rPr>
        <w:lastRenderedPageBreak/>
        <w:t>本指</w:t>
      </w:r>
      <w:r w:rsidRPr="00CE72E5">
        <w:rPr>
          <w:rFonts w:ascii="仿宋" w:eastAsia="仿宋" w:hAnsi="仿宋" w:cs="宋体" w:hint="eastAsia"/>
          <w:kern w:val="0"/>
          <w:sz w:val="32"/>
          <w:szCs w:val="32"/>
        </w:rPr>
        <w:t>引</w:t>
      </w:r>
      <w:r w:rsidRPr="00CE72E5">
        <w:rPr>
          <w:rFonts w:ascii="仿宋" w:eastAsia="仿宋" w:hAnsi="仿宋" w:cs="宋体" w:hint="eastAsia"/>
          <w:kern w:val="0"/>
          <w:sz w:val="32"/>
          <w:szCs w:val="32"/>
        </w:rPr>
        <w:t>为企业在选择慈善领域、寻找慈善伙伴、进行慈善决策时提供一套具有可操作性的行为指引，作为企业开展慈善活动的重要参考，引导企业积极、理性、高效地参与到中国慈善事业的发展中。社会各界也可根据本指引，衡量一个企业在慈善领域的表现。</w:t>
      </w:r>
    </w:p>
    <w:p w14:paraId="5C667EA2" w14:textId="77777777" w:rsidR="00B77779" w:rsidRPr="00CE72E5" w:rsidRDefault="00ED1BEC" w:rsidP="00CE72E5">
      <w:pPr>
        <w:pStyle w:val="aa"/>
        <w:spacing w:line="360" w:lineRule="auto"/>
        <w:ind w:leftChars="200" w:left="420"/>
        <w:rPr>
          <w:rFonts w:ascii="仿宋" w:eastAsia="仿宋" w:hAnsi="仿宋"/>
          <w:b/>
          <w:color w:val="000000"/>
          <w:sz w:val="32"/>
          <w:szCs w:val="32"/>
        </w:rPr>
      </w:pPr>
      <w:r w:rsidRPr="00CE72E5">
        <w:rPr>
          <w:rFonts w:ascii="仿宋" w:eastAsia="仿宋" w:hAnsi="仿宋" w:hint="eastAsia"/>
          <w:b/>
          <w:color w:val="000000"/>
          <w:sz w:val="32"/>
          <w:szCs w:val="32"/>
        </w:rPr>
        <w:t>三、</w:t>
      </w:r>
      <w:r w:rsidRPr="00CE72E5">
        <w:rPr>
          <w:rFonts w:ascii="仿宋" w:eastAsia="仿宋" w:hAnsi="仿宋" w:hint="eastAsia"/>
          <w:b/>
          <w:color w:val="000000"/>
          <w:sz w:val="32"/>
          <w:szCs w:val="32"/>
        </w:rPr>
        <w:t>制定</w:t>
      </w:r>
      <w:r w:rsidRPr="00CE72E5">
        <w:rPr>
          <w:rFonts w:ascii="仿宋" w:eastAsia="仿宋" w:hAnsi="仿宋" w:hint="eastAsia"/>
          <w:b/>
          <w:color w:val="000000"/>
          <w:sz w:val="32"/>
          <w:szCs w:val="32"/>
        </w:rPr>
        <w:t>依据</w:t>
      </w:r>
    </w:p>
    <w:p w14:paraId="6314E9B0" w14:textId="77777777" w:rsidR="00B77779" w:rsidRPr="00CE72E5" w:rsidRDefault="00ED1BEC" w:rsidP="00CE72E5">
      <w:pPr>
        <w:adjustRightInd w:val="0"/>
        <w:snapToGrid w:val="0"/>
        <w:spacing w:line="360" w:lineRule="auto"/>
        <w:ind w:firstLineChars="200" w:firstLine="640"/>
        <w:rPr>
          <w:rFonts w:ascii="仿宋" w:eastAsia="仿宋" w:hAnsi="仿宋" w:cs="宋体"/>
          <w:kern w:val="0"/>
          <w:sz w:val="32"/>
          <w:szCs w:val="32"/>
        </w:rPr>
      </w:pPr>
      <w:r w:rsidRPr="00CE72E5">
        <w:rPr>
          <w:rFonts w:ascii="仿宋" w:eastAsia="仿宋" w:hAnsi="仿宋" w:cs="宋体" w:hint="eastAsia"/>
          <w:kern w:val="0"/>
          <w:sz w:val="32"/>
          <w:szCs w:val="32"/>
        </w:rPr>
        <w:t>本指引在制定过程中参考了以下几类资料：</w:t>
      </w:r>
    </w:p>
    <w:p w14:paraId="3455E0CD" w14:textId="77777777" w:rsidR="00B77779" w:rsidRPr="00CE72E5" w:rsidRDefault="00ED1BEC" w:rsidP="00CE72E5">
      <w:pPr>
        <w:pStyle w:val="af1"/>
        <w:numPr>
          <w:ilvl w:val="0"/>
          <w:numId w:val="1"/>
        </w:numPr>
        <w:adjustRightInd w:val="0"/>
        <w:snapToGrid w:val="0"/>
        <w:spacing w:line="360" w:lineRule="auto"/>
        <w:ind w:firstLineChars="0"/>
        <w:rPr>
          <w:rFonts w:ascii="仿宋" w:eastAsia="仿宋" w:hAnsi="仿宋" w:cs="宋体"/>
          <w:kern w:val="0"/>
          <w:sz w:val="32"/>
          <w:szCs w:val="32"/>
        </w:rPr>
      </w:pPr>
      <w:r w:rsidRPr="00CE72E5">
        <w:rPr>
          <w:rFonts w:ascii="仿宋" w:eastAsia="仿宋" w:hAnsi="仿宋" w:cs="宋体" w:hint="eastAsia"/>
          <w:kern w:val="0"/>
          <w:sz w:val="32"/>
          <w:szCs w:val="32"/>
        </w:rPr>
        <w:t>国家现行的法律法规</w:t>
      </w:r>
      <w:r w:rsidRPr="00CE72E5">
        <w:rPr>
          <w:rFonts w:ascii="仿宋" w:eastAsia="仿宋" w:hAnsi="仿宋" w:cs="宋体" w:hint="eastAsia"/>
          <w:kern w:val="0"/>
          <w:sz w:val="32"/>
          <w:szCs w:val="32"/>
        </w:rPr>
        <w:t>；</w:t>
      </w:r>
    </w:p>
    <w:p w14:paraId="5D9DE679" w14:textId="77777777" w:rsidR="00B77779" w:rsidRPr="00CE72E5" w:rsidRDefault="00ED1BEC" w:rsidP="00CE72E5">
      <w:pPr>
        <w:pStyle w:val="af1"/>
        <w:numPr>
          <w:ilvl w:val="0"/>
          <w:numId w:val="1"/>
        </w:numPr>
        <w:adjustRightInd w:val="0"/>
        <w:snapToGrid w:val="0"/>
        <w:spacing w:line="360" w:lineRule="auto"/>
        <w:ind w:firstLineChars="0"/>
        <w:rPr>
          <w:rFonts w:ascii="仿宋" w:eastAsia="仿宋" w:hAnsi="仿宋" w:cs="宋体"/>
          <w:kern w:val="0"/>
          <w:sz w:val="32"/>
          <w:szCs w:val="32"/>
        </w:rPr>
      </w:pPr>
      <w:r w:rsidRPr="00CE72E5">
        <w:rPr>
          <w:rFonts w:ascii="仿宋" w:eastAsia="仿宋" w:hAnsi="仿宋" w:cs="宋体" w:hint="eastAsia"/>
          <w:kern w:val="0"/>
          <w:sz w:val="32"/>
          <w:szCs w:val="32"/>
        </w:rPr>
        <w:t>相关政府部门对外发布的文件</w:t>
      </w:r>
      <w:r w:rsidRPr="00CE72E5">
        <w:rPr>
          <w:rFonts w:ascii="仿宋" w:eastAsia="仿宋" w:hAnsi="仿宋" w:cs="宋体" w:hint="eastAsia"/>
          <w:kern w:val="0"/>
          <w:sz w:val="32"/>
          <w:szCs w:val="32"/>
        </w:rPr>
        <w:t>；</w:t>
      </w:r>
    </w:p>
    <w:p w14:paraId="0D9F8D2C" w14:textId="77777777" w:rsidR="00B77779" w:rsidRPr="00CE72E5" w:rsidRDefault="00ED1BEC" w:rsidP="00CE72E5">
      <w:pPr>
        <w:pStyle w:val="af1"/>
        <w:numPr>
          <w:ilvl w:val="0"/>
          <w:numId w:val="1"/>
        </w:numPr>
        <w:adjustRightInd w:val="0"/>
        <w:snapToGrid w:val="0"/>
        <w:spacing w:line="360" w:lineRule="auto"/>
        <w:ind w:firstLineChars="0"/>
        <w:rPr>
          <w:rFonts w:ascii="仿宋" w:eastAsia="仿宋" w:hAnsi="仿宋" w:cs="宋体"/>
          <w:kern w:val="0"/>
          <w:sz w:val="32"/>
          <w:szCs w:val="32"/>
        </w:rPr>
      </w:pPr>
      <w:r w:rsidRPr="00CE72E5">
        <w:rPr>
          <w:rFonts w:ascii="仿宋" w:eastAsia="仿宋" w:hAnsi="仿宋" w:cs="宋体" w:hint="eastAsia"/>
          <w:kern w:val="0"/>
          <w:sz w:val="32"/>
          <w:szCs w:val="32"/>
        </w:rPr>
        <w:t>其他国家相关法律法规</w:t>
      </w:r>
      <w:r w:rsidRPr="00CE72E5">
        <w:rPr>
          <w:rFonts w:ascii="仿宋" w:eastAsia="仿宋" w:hAnsi="仿宋" w:cs="宋体" w:hint="eastAsia"/>
          <w:kern w:val="0"/>
          <w:sz w:val="32"/>
          <w:szCs w:val="32"/>
        </w:rPr>
        <w:t>；</w:t>
      </w:r>
    </w:p>
    <w:p w14:paraId="3CF782F6" w14:textId="77777777" w:rsidR="00B77779" w:rsidRPr="00CE72E5" w:rsidRDefault="00ED1BEC" w:rsidP="00CE72E5">
      <w:pPr>
        <w:pStyle w:val="af1"/>
        <w:numPr>
          <w:ilvl w:val="0"/>
          <w:numId w:val="1"/>
        </w:numPr>
        <w:adjustRightInd w:val="0"/>
        <w:snapToGrid w:val="0"/>
        <w:spacing w:line="360" w:lineRule="auto"/>
        <w:ind w:firstLineChars="0"/>
        <w:rPr>
          <w:rFonts w:ascii="仿宋" w:eastAsia="仿宋" w:hAnsi="仿宋" w:cs="宋体"/>
          <w:kern w:val="0"/>
          <w:sz w:val="32"/>
          <w:szCs w:val="32"/>
        </w:rPr>
      </w:pPr>
      <w:r w:rsidRPr="00CE72E5">
        <w:rPr>
          <w:rFonts w:ascii="仿宋" w:eastAsia="仿宋" w:hAnsi="仿宋" w:cs="宋体" w:hint="eastAsia"/>
          <w:kern w:val="0"/>
          <w:sz w:val="32"/>
          <w:szCs w:val="32"/>
        </w:rPr>
        <w:t>国内外行业自律性文件</w:t>
      </w:r>
      <w:r w:rsidRPr="00CE72E5">
        <w:rPr>
          <w:rFonts w:ascii="仿宋" w:eastAsia="仿宋" w:hAnsi="仿宋" w:cs="宋体" w:hint="eastAsia"/>
          <w:kern w:val="0"/>
          <w:sz w:val="32"/>
          <w:szCs w:val="32"/>
        </w:rPr>
        <w:t>；</w:t>
      </w:r>
    </w:p>
    <w:p w14:paraId="758065B5" w14:textId="1B9FDF70" w:rsidR="00B77779" w:rsidRPr="00CE72E5" w:rsidRDefault="00ED1BEC" w:rsidP="00CE72E5">
      <w:pPr>
        <w:adjustRightInd w:val="0"/>
        <w:snapToGrid w:val="0"/>
        <w:spacing w:line="360" w:lineRule="auto"/>
        <w:ind w:firstLineChars="200" w:firstLine="640"/>
        <w:rPr>
          <w:rFonts w:ascii="仿宋" w:eastAsia="仿宋" w:hAnsi="仿宋" w:cs="宋体" w:hint="eastAsia"/>
          <w:b/>
          <w:color w:val="000000"/>
          <w:sz w:val="32"/>
          <w:szCs w:val="32"/>
        </w:rPr>
      </w:pPr>
      <w:r w:rsidRPr="00CE72E5">
        <w:rPr>
          <w:rFonts w:ascii="仿宋" w:eastAsia="仿宋" w:hAnsi="仿宋" w:cs="宋体" w:hint="eastAsia"/>
          <w:kern w:val="0"/>
          <w:sz w:val="32"/>
          <w:szCs w:val="32"/>
        </w:rPr>
        <w:t>对于国家法律法规，本指引将会保持与其的衔接，并对其未详尽说明之处加以理解和阐述；对于其他三类资料，本</w:t>
      </w:r>
      <w:r w:rsidRPr="00CE72E5">
        <w:rPr>
          <w:rFonts w:ascii="仿宋" w:eastAsia="仿宋" w:hAnsi="仿宋" w:cs="宋体" w:hint="eastAsia"/>
          <w:kern w:val="0"/>
          <w:sz w:val="32"/>
          <w:szCs w:val="32"/>
        </w:rPr>
        <w:t>指引</w:t>
      </w:r>
      <w:r w:rsidRPr="00CE72E5">
        <w:rPr>
          <w:rFonts w:ascii="仿宋" w:eastAsia="仿宋" w:hAnsi="仿宋" w:cs="宋体" w:hint="eastAsia"/>
          <w:kern w:val="0"/>
          <w:sz w:val="32"/>
          <w:szCs w:val="32"/>
        </w:rPr>
        <w:t>将会参考、借鉴。</w:t>
      </w:r>
    </w:p>
    <w:p w14:paraId="59CABDEC" w14:textId="77777777" w:rsidR="00B77779" w:rsidRPr="00CE72E5" w:rsidRDefault="00ED1BEC">
      <w:pPr>
        <w:pStyle w:val="aa"/>
        <w:spacing w:line="276" w:lineRule="auto"/>
        <w:ind w:firstLineChars="100" w:firstLine="321"/>
        <w:rPr>
          <w:rFonts w:ascii="仿宋" w:eastAsia="仿宋" w:hAnsi="仿宋"/>
          <w:b/>
          <w:color w:val="000000"/>
          <w:sz w:val="32"/>
          <w:szCs w:val="32"/>
        </w:rPr>
      </w:pPr>
      <w:r w:rsidRPr="00CE72E5">
        <w:rPr>
          <w:rFonts w:ascii="仿宋" w:eastAsia="仿宋" w:hAnsi="仿宋" w:hint="eastAsia"/>
          <w:b/>
          <w:color w:val="000000"/>
          <w:sz w:val="32"/>
          <w:szCs w:val="32"/>
        </w:rPr>
        <w:t>四、</w:t>
      </w:r>
      <w:r w:rsidRPr="00CE72E5">
        <w:rPr>
          <w:rFonts w:ascii="仿宋" w:eastAsia="仿宋" w:hAnsi="仿宋" w:hint="eastAsia"/>
          <w:b/>
          <w:color w:val="000000"/>
          <w:sz w:val="32"/>
          <w:szCs w:val="32"/>
        </w:rPr>
        <w:t>主要起草过程</w:t>
      </w:r>
    </w:p>
    <w:p w14:paraId="51E4F999" w14:textId="77777777" w:rsidR="00B77779" w:rsidRPr="00CE72E5" w:rsidRDefault="00ED1BEC">
      <w:pPr>
        <w:autoSpaceDE w:val="0"/>
        <w:autoSpaceDN w:val="0"/>
        <w:ind w:firstLineChars="200" w:firstLine="624"/>
        <w:rPr>
          <w:rFonts w:ascii="仿宋" w:eastAsia="仿宋" w:hAnsi="仿宋" w:cs="方正仿宋_GB2312"/>
          <w:color w:val="000000"/>
          <w:spacing w:val="-4"/>
          <w:sz w:val="32"/>
          <w:szCs w:val="32"/>
        </w:rPr>
      </w:pPr>
      <w:r w:rsidRPr="00CE72E5">
        <w:rPr>
          <w:rFonts w:ascii="仿宋" w:eastAsia="仿宋" w:hAnsi="仿宋" w:cs="方正仿宋_GB2312" w:hint="eastAsia"/>
          <w:color w:val="000000"/>
          <w:spacing w:val="-4"/>
          <w:sz w:val="32"/>
          <w:szCs w:val="32"/>
        </w:rPr>
        <w:t>本指引的主要起草人是</w:t>
      </w:r>
      <w:r w:rsidRPr="00CE72E5">
        <w:rPr>
          <w:rFonts w:ascii="仿宋" w:eastAsia="仿宋" w:hAnsi="仿宋" w:cs="仿宋" w:hint="eastAsia"/>
          <w:color w:val="000000"/>
          <w:spacing w:val="-4"/>
          <w:sz w:val="32"/>
          <w:szCs w:val="32"/>
        </w:rPr>
        <w:t>北京大学教授袁瑞军作为学术指导、</w:t>
      </w:r>
      <w:r w:rsidRPr="00CE72E5">
        <w:rPr>
          <w:rFonts w:ascii="仿宋" w:eastAsia="仿宋" w:hAnsi="仿宋" w:cs="方正仿宋_GB2312" w:hint="eastAsia"/>
          <w:color w:val="000000"/>
          <w:spacing w:val="-4"/>
          <w:sz w:val="32"/>
          <w:szCs w:val="32"/>
        </w:rPr>
        <w:t>北京明慈社会组织能力建设促进中心邹晓玲。她们将主要负责对项目调研方向的指导和本指引的起草。</w:t>
      </w:r>
    </w:p>
    <w:p w14:paraId="58484DE1" w14:textId="77777777" w:rsidR="00B77779" w:rsidRPr="00CE72E5" w:rsidRDefault="00ED1BEC">
      <w:pPr>
        <w:pStyle w:val="aa"/>
        <w:spacing w:line="276" w:lineRule="auto"/>
        <w:ind w:firstLineChars="100" w:firstLine="321"/>
        <w:rPr>
          <w:rFonts w:ascii="仿宋" w:eastAsia="仿宋" w:hAnsi="仿宋"/>
          <w:b/>
          <w:color w:val="000000"/>
          <w:sz w:val="32"/>
          <w:szCs w:val="32"/>
        </w:rPr>
      </w:pPr>
      <w:r w:rsidRPr="00CE72E5">
        <w:rPr>
          <w:rFonts w:ascii="仿宋" w:eastAsia="仿宋" w:hAnsi="仿宋" w:hint="eastAsia"/>
          <w:b/>
          <w:color w:val="000000"/>
          <w:sz w:val="32"/>
          <w:szCs w:val="32"/>
        </w:rPr>
        <w:t>五、制定标准的相关依据</w:t>
      </w:r>
    </w:p>
    <w:p w14:paraId="09D21A33" w14:textId="6E1B02C6" w:rsidR="00B77779" w:rsidRPr="00CE72E5" w:rsidRDefault="00ED1BEC" w:rsidP="00CE72E5">
      <w:pPr>
        <w:autoSpaceDE w:val="0"/>
        <w:autoSpaceDN w:val="0"/>
        <w:ind w:firstLineChars="200" w:firstLine="640"/>
        <w:rPr>
          <w:rFonts w:ascii="仿宋" w:eastAsia="仿宋" w:hAnsi="仿宋" w:cs="方正仿宋_GB2312" w:hint="eastAsia"/>
          <w:color w:val="000000"/>
          <w:spacing w:val="-4"/>
          <w:sz w:val="32"/>
          <w:szCs w:val="32"/>
        </w:rPr>
      </w:pPr>
      <w:r w:rsidRPr="00CE72E5">
        <w:rPr>
          <w:rFonts w:ascii="仿宋" w:eastAsia="仿宋" w:hAnsi="仿宋" w:cs="方正仿宋_GB2312" w:hint="eastAsia"/>
          <w:sz w:val="32"/>
          <w:szCs w:val="32"/>
        </w:rPr>
        <w:lastRenderedPageBreak/>
        <w:t>本</w:t>
      </w:r>
      <w:r w:rsidRPr="00CE72E5">
        <w:rPr>
          <w:rFonts w:ascii="仿宋" w:eastAsia="仿宋" w:hAnsi="仿宋" w:cs="方正仿宋_GB2312" w:hint="eastAsia"/>
          <w:color w:val="000000"/>
          <w:spacing w:val="-4"/>
          <w:sz w:val="32"/>
          <w:szCs w:val="32"/>
        </w:rPr>
        <w:t>指引适用于在我国境内开展经营活动的企业，在参与我国慈善领域，开展捐赠等慈善活动时使用。自然人在开展类似慈善活动时也可参照本指引。</w:t>
      </w:r>
    </w:p>
    <w:p w14:paraId="2F811BD9" w14:textId="1D464D42" w:rsidR="00B77779" w:rsidRPr="00CE72E5" w:rsidRDefault="00ED1BEC" w:rsidP="00CE72E5">
      <w:pPr>
        <w:autoSpaceDE w:val="0"/>
        <w:autoSpaceDN w:val="0"/>
        <w:ind w:firstLineChars="200" w:firstLine="640"/>
        <w:rPr>
          <w:rFonts w:ascii="仿宋" w:eastAsia="仿宋" w:hAnsi="仿宋" w:cs="方正仿宋_GB2312" w:hint="eastAsia"/>
          <w:sz w:val="32"/>
          <w:szCs w:val="32"/>
        </w:rPr>
      </w:pPr>
      <w:r w:rsidRPr="00CE72E5">
        <w:rPr>
          <w:rFonts w:ascii="仿宋" w:eastAsia="仿宋" w:hAnsi="仿宋" w:cs="方正仿宋_GB2312" w:hint="eastAsia"/>
          <w:sz w:val="32"/>
          <w:szCs w:val="32"/>
        </w:rPr>
        <w:t>“初稿编制阶段”：初稿编制阶段主要收集了国内政策法律法规，企业捐赠情况的相关信息，企业基金会的状况，具有公开募捐资格的基金会中的企业捐赠情况，对部分企业捐赠意愿、捐赠行为进行了了解。</w:t>
      </w:r>
    </w:p>
    <w:p w14:paraId="07161A32" w14:textId="77777777" w:rsidR="00B77779" w:rsidRPr="00CE72E5" w:rsidRDefault="00ED1BEC">
      <w:pPr>
        <w:pStyle w:val="aa"/>
        <w:spacing w:line="276" w:lineRule="auto"/>
        <w:ind w:firstLineChars="100" w:firstLine="321"/>
        <w:rPr>
          <w:rFonts w:ascii="仿宋" w:eastAsia="仿宋" w:hAnsi="仿宋"/>
          <w:b/>
          <w:color w:val="000000"/>
          <w:sz w:val="32"/>
          <w:szCs w:val="32"/>
        </w:rPr>
      </w:pPr>
      <w:r w:rsidRPr="00CE72E5">
        <w:rPr>
          <w:rFonts w:ascii="仿宋" w:eastAsia="仿宋" w:hAnsi="仿宋" w:hint="eastAsia"/>
          <w:b/>
          <w:color w:val="000000"/>
          <w:sz w:val="32"/>
          <w:szCs w:val="32"/>
        </w:rPr>
        <w:t>六、主要条款的说明</w:t>
      </w:r>
    </w:p>
    <w:p w14:paraId="75F792C7" w14:textId="77777777" w:rsidR="00B77779" w:rsidRPr="00CE72E5" w:rsidRDefault="00ED1BEC">
      <w:pPr>
        <w:spacing w:line="276" w:lineRule="auto"/>
        <w:ind w:firstLine="645"/>
        <w:rPr>
          <w:rFonts w:ascii="仿宋" w:eastAsia="仿宋" w:hAnsi="仿宋"/>
          <w:sz w:val="32"/>
          <w:szCs w:val="32"/>
        </w:rPr>
      </w:pPr>
      <w:r w:rsidRPr="00CE72E5">
        <w:rPr>
          <w:rFonts w:ascii="仿宋" w:eastAsia="仿宋" w:hAnsi="仿宋" w:hint="eastAsia"/>
          <w:sz w:val="32"/>
          <w:szCs w:val="32"/>
        </w:rPr>
        <w:t>本文件给出了</w:t>
      </w:r>
      <w:r w:rsidRPr="00CE72E5">
        <w:rPr>
          <w:rFonts w:ascii="仿宋" w:eastAsia="仿宋" w:hAnsi="仿宋" w:hint="eastAsia"/>
          <w:sz w:val="32"/>
          <w:szCs w:val="32"/>
        </w:rPr>
        <w:t>企业捐赠行为</w:t>
      </w:r>
      <w:r w:rsidRPr="00CE72E5">
        <w:rPr>
          <w:rFonts w:ascii="仿宋" w:eastAsia="仿宋" w:hAnsi="仿宋" w:hint="eastAsia"/>
          <w:sz w:val="32"/>
          <w:szCs w:val="32"/>
        </w:rPr>
        <w:t>相关</w:t>
      </w:r>
      <w:r w:rsidRPr="00CE72E5">
        <w:rPr>
          <w:rFonts w:ascii="仿宋" w:eastAsia="仿宋" w:hAnsi="仿宋" w:hint="eastAsia"/>
          <w:sz w:val="32"/>
          <w:szCs w:val="32"/>
        </w:rPr>
        <w:t>的</w:t>
      </w:r>
      <w:r w:rsidRPr="00CE72E5">
        <w:rPr>
          <w:rFonts w:ascii="仿宋" w:eastAsia="仿宋" w:hAnsi="仿宋" w:hint="eastAsia"/>
          <w:sz w:val="32"/>
          <w:szCs w:val="32"/>
        </w:rPr>
        <w:t>术语和定义、</w:t>
      </w:r>
      <w:r w:rsidRPr="00CE72E5">
        <w:rPr>
          <w:rFonts w:ascii="仿宋" w:eastAsia="仿宋" w:hAnsi="仿宋" w:hint="eastAsia"/>
          <w:sz w:val="32"/>
          <w:szCs w:val="32"/>
        </w:rPr>
        <w:t>原则、行为指引、行为规范、其他事项</w:t>
      </w:r>
      <w:r w:rsidRPr="00CE72E5">
        <w:rPr>
          <w:rFonts w:ascii="仿宋" w:eastAsia="仿宋" w:hAnsi="仿宋" w:hint="eastAsia"/>
          <w:sz w:val="32"/>
          <w:szCs w:val="32"/>
        </w:rPr>
        <w:t>等内容。</w:t>
      </w:r>
    </w:p>
    <w:p w14:paraId="35C6D959" w14:textId="77777777" w:rsidR="00B77779" w:rsidRPr="00CE72E5" w:rsidRDefault="00ED1BEC">
      <w:pPr>
        <w:spacing w:line="276" w:lineRule="auto"/>
        <w:ind w:firstLine="645"/>
        <w:rPr>
          <w:rFonts w:ascii="仿宋" w:eastAsia="仿宋" w:hAnsi="仿宋"/>
          <w:sz w:val="32"/>
          <w:szCs w:val="32"/>
        </w:rPr>
      </w:pPr>
      <w:r w:rsidRPr="00CE72E5">
        <w:rPr>
          <w:rFonts w:ascii="仿宋" w:eastAsia="仿宋" w:hAnsi="仿宋" w:hint="eastAsia"/>
          <w:sz w:val="32"/>
          <w:szCs w:val="32"/>
        </w:rPr>
        <w:t>本文件适用于全国范围内</w:t>
      </w:r>
      <w:r w:rsidRPr="00CE72E5">
        <w:rPr>
          <w:rFonts w:ascii="仿宋" w:eastAsia="仿宋" w:hAnsi="仿宋" w:hint="eastAsia"/>
          <w:sz w:val="32"/>
          <w:szCs w:val="32"/>
        </w:rPr>
        <w:t>企业捐赠行为和管理的参照</w:t>
      </w:r>
      <w:r w:rsidRPr="00CE72E5">
        <w:rPr>
          <w:rFonts w:ascii="仿宋" w:eastAsia="仿宋" w:hAnsi="仿宋" w:hint="eastAsia"/>
          <w:sz w:val="32"/>
          <w:szCs w:val="32"/>
        </w:rPr>
        <w:t>。</w:t>
      </w:r>
    </w:p>
    <w:p w14:paraId="288D0B51" w14:textId="77777777" w:rsidR="00B77779" w:rsidRPr="00CE72E5" w:rsidRDefault="00ED1BEC">
      <w:pPr>
        <w:pStyle w:val="aa"/>
        <w:spacing w:line="276" w:lineRule="auto"/>
        <w:ind w:firstLineChars="100" w:firstLine="321"/>
        <w:rPr>
          <w:rFonts w:ascii="仿宋" w:eastAsia="仿宋" w:hAnsi="仿宋"/>
          <w:b/>
          <w:color w:val="000000"/>
          <w:sz w:val="32"/>
          <w:szCs w:val="32"/>
        </w:rPr>
      </w:pPr>
      <w:r w:rsidRPr="00CE72E5">
        <w:rPr>
          <w:rFonts w:ascii="仿宋" w:eastAsia="仿宋" w:hAnsi="仿宋" w:hint="eastAsia"/>
          <w:b/>
          <w:color w:val="000000"/>
          <w:sz w:val="32"/>
          <w:szCs w:val="32"/>
        </w:rPr>
        <w:t>七、重大意见分歧的处理依据和结果</w:t>
      </w:r>
    </w:p>
    <w:p w14:paraId="45F7F00D" w14:textId="77777777" w:rsidR="00B77779" w:rsidRPr="00CE72E5" w:rsidRDefault="00ED1BEC">
      <w:pPr>
        <w:spacing w:line="276" w:lineRule="auto"/>
        <w:ind w:firstLine="645"/>
        <w:rPr>
          <w:rFonts w:ascii="仿宋" w:eastAsia="仿宋" w:hAnsi="仿宋"/>
          <w:sz w:val="32"/>
          <w:szCs w:val="32"/>
        </w:rPr>
      </w:pPr>
      <w:r w:rsidRPr="00CE72E5">
        <w:rPr>
          <w:rFonts w:ascii="仿宋" w:eastAsia="仿宋" w:hAnsi="仿宋" w:hint="eastAsia"/>
          <w:sz w:val="32"/>
          <w:szCs w:val="32"/>
        </w:rPr>
        <w:t>本文件</w:t>
      </w:r>
      <w:r w:rsidRPr="00CE72E5">
        <w:rPr>
          <w:rFonts w:ascii="仿宋" w:eastAsia="仿宋" w:hAnsi="仿宋" w:hint="eastAsia"/>
          <w:sz w:val="32"/>
          <w:szCs w:val="32"/>
        </w:rPr>
        <w:t>征求意见阶段</w:t>
      </w:r>
      <w:r w:rsidRPr="00CE72E5">
        <w:rPr>
          <w:rFonts w:ascii="仿宋" w:eastAsia="仿宋" w:hAnsi="仿宋" w:hint="eastAsia"/>
          <w:sz w:val="32"/>
          <w:szCs w:val="32"/>
        </w:rPr>
        <w:t>，暂无</w:t>
      </w:r>
      <w:r w:rsidRPr="00CE72E5">
        <w:rPr>
          <w:rFonts w:ascii="仿宋" w:eastAsia="仿宋" w:hAnsi="仿宋" w:hint="eastAsia"/>
          <w:sz w:val="32"/>
          <w:szCs w:val="32"/>
        </w:rPr>
        <w:t>重大意见分歧</w:t>
      </w:r>
      <w:r w:rsidRPr="00CE72E5">
        <w:rPr>
          <w:rFonts w:ascii="仿宋" w:eastAsia="仿宋" w:hAnsi="仿宋" w:hint="eastAsia"/>
          <w:sz w:val="32"/>
          <w:szCs w:val="32"/>
        </w:rPr>
        <w:t>。</w:t>
      </w:r>
    </w:p>
    <w:p w14:paraId="53C10374" w14:textId="77777777" w:rsidR="00B77779" w:rsidRPr="00CE72E5" w:rsidRDefault="00ED1BEC">
      <w:pPr>
        <w:pStyle w:val="aa"/>
        <w:spacing w:line="276" w:lineRule="auto"/>
        <w:ind w:firstLineChars="100" w:firstLine="321"/>
        <w:rPr>
          <w:rFonts w:ascii="仿宋" w:eastAsia="仿宋" w:hAnsi="仿宋"/>
          <w:b/>
          <w:color w:val="000000"/>
          <w:sz w:val="32"/>
          <w:szCs w:val="32"/>
        </w:rPr>
      </w:pPr>
      <w:r w:rsidRPr="00CE72E5">
        <w:rPr>
          <w:rFonts w:ascii="仿宋" w:eastAsia="仿宋" w:hAnsi="仿宋" w:hint="eastAsia"/>
          <w:b/>
          <w:color w:val="000000"/>
          <w:sz w:val="32"/>
          <w:szCs w:val="32"/>
        </w:rPr>
        <w:t>八、作为推荐性标准或者强制性标准的建议及其理由</w:t>
      </w:r>
    </w:p>
    <w:p w14:paraId="2EAE6616" w14:textId="77777777" w:rsidR="00B77779" w:rsidRPr="00CE72E5" w:rsidRDefault="00ED1BEC">
      <w:pPr>
        <w:spacing w:line="276" w:lineRule="auto"/>
        <w:ind w:firstLineChars="200" w:firstLine="640"/>
        <w:rPr>
          <w:rFonts w:ascii="仿宋" w:eastAsia="仿宋" w:hAnsi="仿宋"/>
          <w:sz w:val="32"/>
        </w:rPr>
      </w:pPr>
      <w:r w:rsidRPr="00CE72E5">
        <w:rPr>
          <w:rFonts w:ascii="仿宋" w:eastAsia="仿宋" w:hAnsi="仿宋" w:hint="eastAsia"/>
          <w:color w:val="000000"/>
          <w:sz w:val="32"/>
          <w:szCs w:val="32"/>
        </w:rPr>
        <w:t>根据《中华人民共和国标准法》规定，建议本文件作为推荐性</w:t>
      </w:r>
      <w:r w:rsidRPr="00CE72E5">
        <w:rPr>
          <w:rFonts w:ascii="仿宋" w:eastAsia="仿宋" w:hAnsi="仿宋" w:hint="eastAsia"/>
          <w:color w:val="000000"/>
          <w:sz w:val="32"/>
          <w:szCs w:val="32"/>
        </w:rPr>
        <w:t>慈善捐赠</w:t>
      </w:r>
      <w:r w:rsidRPr="00CE72E5">
        <w:rPr>
          <w:rFonts w:ascii="仿宋" w:eastAsia="仿宋" w:hAnsi="仿宋" w:hint="eastAsia"/>
          <w:color w:val="000000"/>
          <w:sz w:val="32"/>
          <w:szCs w:val="32"/>
        </w:rPr>
        <w:t>行业标准或中国慈善联合会团体标准，面</w:t>
      </w:r>
      <w:r w:rsidRPr="00CE72E5">
        <w:rPr>
          <w:rFonts w:ascii="仿宋" w:eastAsia="仿宋" w:hAnsi="仿宋"/>
          <w:color w:val="000000"/>
          <w:sz w:val="32"/>
          <w:szCs w:val="32"/>
        </w:rPr>
        <w:t>向</w:t>
      </w:r>
      <w:r w:rsidRPr="00CE72E5">
        <w:rPr>
          <w:rFonts w:ascii="仿宋" w:eastAsia="仿宋" w:hAnsi="仿宋" w:hint="eastAsia"/>
          <w:sz w:val="32"/>
          <w:szCs w:val="32"/>
        </w:rPr>
        <w:t>相关社会</w:t>
      </w:r>
      <w:r w:rsidRPr="00CE72E5">
        <w:rPr>
          <w:rFonts w:ascii="仿宋" w:eastAsia="仿宋" w:hAnsi="仿宋"/>
          <w:sz w:val="32"/>
          <w:szCs w:val="32"/>
        </w:rPr>
        <w:t>组织</w:t>
      </w:r>
      <w:proofErr w:type="gramStart"/>
      <w:r w:rsidRPr="00CE72E5">
        <w:rPr>
          <w:rFonts w:ascii="仿宋" w:eastAsia="仿宋" w:hAnsi="仿宋" w:hint="eastAsia"/>
          <w:sz w:val="32"/>
          <w:szCs w:val="32"/>
        </w:rPr>
        <w:t>或</w:t>
      </w:r>
      <w:r w:rsidRPr="00CE72E5">
        <w:rPr>
          <w:rFonts w:ascii="仿宋" w:eastAsia="仿宋" w:hAnsi="仿宋"/>
          <w:sz w:val="32"/>
          <w:szCs w:val="32"/>
        </w:rPr>
        <w:t>中慈联会</w:t>
      </w:r>
      <w:proofErr w:type="gramEnd"/>
      <w:r w:rsidRPr="00CE72E5">
        <w:rPr>
          <w:rFonts w:ascii="仿宋" w:eastAsia="仿宋" w:hAnsi="仿宋"/>
          <w:sz w:val="32"/>
          <w:szCs w:val="32"/>
        </w:rPr>
        <w:t>员</w:t>
      </w:r>
      <w:r w:rsidRPr="00CE72E5">
        <w:rPr>
          <w:rFonts w:ascii="仿宋" w:eastAsia="仿宋" w:hAnsi="仿宋" w:hint="eastAsia"/>
          <w:sz w:val="32"/>
          <w:szCs w:val="32"/>
        </w:rPr>
        <w:t>、</w:t>
      </w:r>
      <w:r w:rsidRPr="00CE72E5">
        <w:rPr>
          <w:rFonts w:ascii="仿宋" w:eastAsia="仿宋" w:hAnsi="仿宋" w:hint="eastAsia"/>
          <w:sz w:val="32"/>
          <w:szCs w:val="32"/>
        </w:rPr>
        <w:t>企业捐赠方</w:t>
      </w:r>
      <w:r w:rsidRPr="00CE72E5">
        <w:rPr>
          <w:rFonts w:ascii="仿宋" w:eastAsia="仿宋" w:hAnsi="仿宋" w:hint="eastAsia"/>
          <w:sz w:val="32"/>
          <w:szCs w:val="32"/>
        </w:rPr>
        <w:t>推广</w:t>
      </w:r>
      <w:r w:rsidRPr="00CE72E5">
        <w:rPr>
          <w:rFonts w:ascii="仿宋" w:eastAsia="仿宋" w:hAnsi="仿宋"/>
          <w:sz w:val="32"/>
          <w:szCs w:val="32"/>
        </w:rPr>
        <w:t>。</w:t>
      </w:r>
    </w:p>
    <w:p w14:paraId="738F37E0" w14:textId="77777777" w:rsidR="00B77779" w:rsidRPr="00CE72E5" w:rsidRDefault="00ED1BEC">
      <w:pPr>
        <w:pStyle w:val="aa"/>
        <w:spacing w:line="276" w:lineRule="auto"/>
        <w:ind w:firstLineChars="100" w:firstLine="321"/>
        <w:rPr>
          <w:rFonts w:ascii="仿宋" w:eastAsia="仿宋" w:hAnsi="仿宋"/>
          <w:b/>
          <w:color w:val="000000"/>
          <w:sz w:val="32"/>
          <w:szCs w:val="32"/>
        </w:rPr>
      </w:pPr>
      <w:r w:rsidRPr="00CE72E5">
        <w:rPr>
          <w:rFonts w:ascii="仿宋" w:eastAsia="仿宋" w:hAnsi="仿宋" w:hint="eastAsia"/>
          <w:b/>
          <w:color w:val="000000"/>
          <w:sz w:val="32"/>
          <w:szCs w:val="32"/>
        </w:rPr>
        <w:t>九、贯彻标准的措施建议</w:t>
      </w:r>
    </w:p>
    <w:p w14:paraId="585F7D11" w14:textId="77777777" w:rsidR="00B77779" w:rsidRPr="00CE72E5" w:rsidRDefault="00ED1BEC">
      <w:pPr>
        <w:pStyle w:val="af1"/>
        <w:numPr>
          <w:ilvl w:val="0"/>
          <w:numId w:val="2"/>
        </w:numPr>
        <w:spacing w:line="276" w:lineRule="auto"/>
        <w:ind w:firstLineChars="0"/>
        <w:rPr>
          <w:rFonts w:ascii="仿宋" w:eastAsia="仿宋" w:hAnsi="仿宋"/>
          <w:color w:val="000000"/>
          <w:sz w:val="32"/>
          <w:szCs w:val="32"/>
        </w:rPr>
      </w:pPr>
      <w:r w:rsidRPr="00CE72E5">
        <w:rPr>
          <w:rFonts w:ascii="仿宋" w:eastAsia="仿宋" w:hAnsi="仿宋" w:hint="eastAsia"/>
          <w:color w:val="000000"/>
          <w:sz w:val="32"/>
          <w:szCs w:val="32"/>
        </w:rPr>
        <w:lastRenderedPageBreak/>
        <w:t>作为慈善领域的国家级团体标准制定与发布，建议中国慈善联合会组织宣贯实施。</w:t>
      </w:r>
    </w:p>
    <w:p w14:paraId="624DD635" w14:textId="77777777" w:rsidR="00B77779" w:rsidRPr="00CE72E5" w:rsidRDefault="00ED1BEC">
      <w:pPr>
        <w:pStyle w:val="af1"/>
        <w:numPr>
          <w:ilvl w:val="0"/>
          <w:numId w:val="2"/>
        </w:numPr>
        <w:spacing w:line="276" w:lineRule="auto"/>
        <w:ind w:firstLineChars="0"/>
        <w:rPr>
          <w:rFonts w:ascii="仿宋" w:eastAsia="仿宋" w:hAnsi="仿宋"/>
          <w:sz w:val="32"/>
          <w:szCs w:val="32"/>
        </w:rPr>
      </w:pPr>
      <w:r w:rsidRPr="00CE72E5">
        <w:rPr>
          <w:rFonts w:ascii="仿宋" w:eastAsia="仿宋" w:hAnsi="仿宋" w:hint="eastAsia"/>
          <w:color w:val="000000"/>
          <w:sz w:val="32"/>
          <w:szCs w:val="32"/>
        </w:rPr>
        <w:t>在本文件供会员单位内部约定采用和社会自愿采用</w:t>
      </w:r>
    </w:p>
    <w:p w14:paraId="5F1F91B5" w14:textId="77777777" w:rsidR="00B77779" w:rsidRPr="00CE72E5" w:rsidRDefault="00ED1BEC">
      <w:pPr>
        <w:spacing w:line="276" w:lineRule="auto"/>
        <w:rPr>
          <w:rFonts w:ascii="仿宋" w:eastAsia="仿宋" w:hAnsi="仿宋"/>
          <w:sz w:val="32"/>
          <w:szCs w:val="32"/>
        </w:rPr>
      </w:pPr>
      <w:r w:rsidRPr="00CE72E5">
        <w:rPr>
          <w:rFonts w:ascii="仿宋" w:eastAsia="仿宋" w:hAnsi="仿宋" w:hint="eastAsia"/>
          <w:color w:val="000000"/>
          <w:sz w:val="32"/>
          <w:szCs w:val="32"/>
        </w:rPr>
        <w:t>的同时，为扩大标准的影响，可进一步作为民政行业标准制定与发布，由民政部慈善事业促进和社会工作司组织宣</w:t>
      </w:r>
      <w:proofErr w:type="gramStart"/>
      <w:r w:rsidRPr="00CE72E5">
        <w:rPr>
          <w:rFonts w:ascii="仿宋" w:eastAsia="仿宋" w:hAnsi="仿宋" w:hint="eastAsia"/>
          <w:color w:val="000000"/>
          <w:sz w:val="32"/>
          <w:szCs w:val="32"/>
        </w:rPr>
        <w:t>贯</w:t>
      </w:r>
      <w:proofErr w:type="gramEnd"/>
      <w:r w:rsidRPr="00CE72E5">
        <w:rPr>
          <w:rFonts w:ascii="仿宋" w:eastAsia="仿宋" w:hAnsi="仿宋" w:hint="eastAsia"/>
          <w:color w:val="000000"/>
          <w:sz w:val="32"/>
          <w:szCs w:val="32"/>
        </w:rPr>
        <w:t>。</w:t>
      </w:r>
    </w:p>
    <w:p w14:paraId="5925C084" w14:textId="77777777" w:rsidR="00B77779" w:rsidRPr="00CE72E5" w:rsidRDefault="00ED1BEC">
      <w:pPr>
        <w:pStyle w:val="af1"/>
        <w:numPr>
          <w:ilvl w:val="0"/>
          <w:numId w:val="2"/>
        </w:numPr>
        <w:spacing w:line="276" w:lineRule="auto"/>
        <w:ind w:firstLineChars="0"/>
        <w:rPr>
          <w:rFonts w:ascii="仿宋" w:eastAsia="仿宋" w:hAnsi="仿宋"/>
          <w:sz w:val="32"/>
          <w:szCs w:val="32"/>
        </w:rPr>
      </w:pPr>
      <w:r w:rsidRPr="00CE72E5">
        <w:rPr>
          <w:rFonts w:ascii="仿宋" w:eastAsia="仿宋" w:hAnsi="仿宋" w:hint="eastAsia"/>
          <w:sz w:val="32"/>
          <w:szCs w:val="32"/>
        </w:rPr>
        <w:t>本</w:t>
      </w:r>
      <w:r w:rsidRPr="00CE72E5">
        <w:rPr>
          <w:rFonts w:ascii="仿宋" w:eastAsia="仿宋" w:hAnsi="仿宋" w:hint="eastAsia"/>
          <w:sz w:val="32"/>
          <w:szCs w:val="32"/>
        </w:rPr>
        <w:t>文件</w:t>
      </w:r>
      <w:r w:rsidRPr="00CE72E5">
        <w:rPr>
          <w:rFonts w:ascii="仿宋" w:eastAsia="仿宋" w:hAnsi="仿宋" w:hint="eastAsia"/>
          <w:sz w:val="32"/>
          <w:szCs w:val="32"/>
        </w:rPr>
        <w:t>发布实施后，应编制宣贯教材并由</w:t>
      </w:r>
      <w:r w:rsidRPr="00CE72E5">
        <w:rPr>
          <w:rFonts w:ascii="仿宋" w:eastAsia="仿宋" w:hAnsi="仿宋" w:hint="eastAsia"/>
          <w:color w:val="000000"/>
          <w:sz w:val="32"/>
          <w:szCs w:val="32"/>
        </w:rPr>
        <w:t>中国慈善联合会</w:t>
      </w:r>
      <w:r w:rsidRPr="00CE72E5">
        <w:rPr>
          <w:rFonts w:ascii="仿宋" w:eastAsia="仿宋" w:hAnsi="仿宋" w:hint="eastAsia"/>
          <w:sz w:val="32"/>
          <w:szCs w:val="32"/>
        </w:rPr>
        <w:t>开展培训和示范活动。</w:t>
      </w:r>
    </w:p>
    <w:p w14:paraId="18577A26" w14:textId="77777777" w:rsidR="00B77779" w:rsidRPr="00CE72E5" w:rsidRDefault="00ED1BEC">
      <w:pPr>
        <w:numPr>
          <w:ilvl w:val="0"/>
          <w:numId w:val="2"/>
        </w:numPr>
        <w:spacing w:line="276" w:lineRule="auto"/>
        <w:rPr>
          <w:rFonts w:ascii="仿宋" w:eastAsia="仿宋" w:hAnsi="仿宋"/>
          <w:color w:val="000000"/>
          <w:sz w:val="32"/>
          <w:szCs w:val="32"/>
        </w:rPr>
      </w:pPr>
      <w:r w:rsidRPr="00CE72E5">
        <w:rPr>
          <w:rFonts w:ascii="仿宋" w:eastAsia="仿宋" w:hAnsi="仿宋" w:hint="eastAsia"/>
          <w:color w:val="000000"/>
          <w:sz w:val="32"/>
          <w:szCs w:val="32"/>
        </w:rPr>
        <w:t>本文件发布实施后，鼓励企业捐赠人按照此标准开展自我评价，并由中国慈善联合会授牌向社会公开示范。</w:t>
      </w:r>
    </w:p>
    <w:p w14:paraId="6EF5B062" w14:textId="77777777" w:rsidR="00B77779" w:rsidRPr="00CE72E5" w:rsidRDefault="00ED1BEC">
      <w:pPr>
        <w:spacing w:line="276" w:lineRule="auto"/>
        <w:ind w:firstLineChars="100" w:firstLine="321"/>
        <w:rPr>
          <w:rFonts w:ascii="仿宋" w:eastAsia="仿宋" w:hAnsi="仿宋" w:cs="宋体"/>
          <w:b/>
          <w:bCs/>
          <w:sz w:val="32"/>
          <w:szCs w:val="32"/>
        </w:rPr>
      </w:pPr>
      <w:r w:rsidRPr="00CE72E5">
        <w:rPr>
          <w:rFonts w:ascii="仿宋" w:eastAsia="仿宋" w:hAnsi="仿宋" w:cs="宋体" w:hint="eastAsia"/>
          <w:b/>
          <w:bCs/>
          <w:sz w:val="32"/>
          <w:szCs w:val="32"/>
        </w:rPr>
        <w:t>十、</w:t>
      </w:r>
      <w:r w:rsidRPr="00CE72E5">
        <w:rPr>
          <w:rFonts w:ascii="仿宋" w:eastAsia="仿宋" w:hAnsi="仿宋" w:cs="宋体" w:hint="eastAsia"/>
          <w:b/>
          <w:bCs/>
          <w:sz w:val="32"/>
          <w:szCs w:val="32"/>
        </w:rPr>
        <w:t>《企业慈善捐赠指引》立项及开题会议情况报告</w:t>
      </w:r>
    </w:p>
    <w:p w14:paraId="627CA2B9" w14:textId="6AB9D855" w:rsidR="00B77779" w:rsidRPr="00CE72E5" w:rsidRDefault="00ED1BEC">
      <w:pPr>
        <w:spacing w:line="276" w:lineRule="auto"/>
        <w:ind w:firstLineChars="200" w:firstLine="640"/>
        <w:rPr>
          <w:rFonts w:ascii="仿宋" w:eastAsia="仿宋" w:hAnsi="仿宋"/>
          <w:color w:val="000000"/>
          <w:sz w:val="32"/>
          <w:szCs w:val="32"/>
        </w:rPr>
      </w:pPr>
      <w:r w:rsidRPr="00CE72E5">
        <w:rPr>
          <w:rFonts w:ascii="仿宋" w:eastAsia="仿宋" w:hAnsi="仿宋" w:hint="eastAsia"/>
          <w:color w:val="000000"/>
          <w:sz w:val="32"/>
          <w:szCs w:val="32"/>
        </w:rPr>
        <w:t>近</w:t>
      </w:r>
      <w:r w:rsidRPr="00CE72E5">
        <w:rPr>
          <w:rFonts w:ascii="仿宋" w:eastAsia="仿宋" w:hAnsi="仿宋" w:hint="eastAsia"/>
          <w:color w:val="000000"/>
          <w:sz w:val="32"/>
          <w:szCs w:val="32"/>
        </w:rPr>
        <w:t>年来</w:t>
      </w:r>
      <w:r w:rsidRPr="00CE72E5">
        <w:rPr>
          <w:rFonts w:ascii="仿宋" w:eastAsia="仿宋" w:hAnsi="仿宋" w:hint="eastAsia"/>
          <w:color w:val="000000"/>
          <w:sz w:val="32"/>
          <w:szCs w:val="32"/>
        </w:rPr>
        <w:t>,</w:t>
      </w:r>
      <w:r w:rsidRPr="00CE72E5">
        <w:rPr>
          <w:rFonts w:ascii="仿宋" w:eastAsia="仿宋" w:hAnsi="仿宋" w:hint="eastAsia"/>
          <w:color w:val="000000"/>
          <w:sz w:val="32"/>
          <w:szCs w:val="32"/>
        </w:rPr>
        <w:t>随着经济力量的增强</w:t>
      </w:r>
      <w:r w:rsidRPr="00CE72E5">
        <w:rPr>
          <w:rFonts w:ascii="仿宋" w:eastAsia="仿宋" w:hAnsi="仿宋" w:hint="eastAsia"/>
          <w:color w:val="000000"/>
          <w:sz w:val="32"/>
          <w:szCs w:val="32"/>
        </w:rPr>
        <w:t>,</w:t>
      </w:r>
      <w:r w:rsidRPr="00CE72E5">
        <w:rPr>
          <w:rFonts w:ascii="仿宋" w:eastAsia="仿宋" w:hAnsi="仿宋" w:hint="eastAsia"/>
          <w:color w:val="000000"/>
          <w:sz w:val="32"/>
          <w:szCs w:val="32"/>
        </w:rPr>
        <w:t>企业对全球经济、政治、社会生活等领域构成了深刻的影响</w:t>
      </w:r>
      <w:r w:rsidRPr="00CE72E5">
        <w:rPr>
          <w:rFonts w:ascii="仿宋" w:eastAsia="仿宋" w:hAnsi="仿宋" w:hint="eastAsia"/>
          <w:color w:val="000000"/>
          <w:sz w:val="32"/>
          <w:szCs w:val="32"/>
        </w:rPr>
        <w:t>,</w:t>
      </w:r>
      <w:r w:rsidRPr="00CE72E5">
        <w:rPr>
          <w:rFonts w:ascii="仿宋" w:eastAsia="仿宋" w:hAnsi="仿宋" w:hint="eastAsia"/>
          <w:color w:val="000000"/>
          <w:sz w:val="32"/>
          <w:szCs w:val="32"/>
        </w:rPr>
        <w:t>这种变化给企业带来了新的要求和新的挑战。社会公众对企业社会责任的期望值升高</w:t>
      </w:r>
      <w:r w:rsidRPr="00CE72E5">
        <w:rPr>
          <w:rFonts w:ascii="仿宋" w:eastAsia="仿宋" w:hAnsi="仿宋" w:hint="eastAsia"/>
          <w:color w:val="000000"/>
          <w:sz w:val="32"/>
          <w:szCs w:val="32"/>
        </w:rPr>
        <w:t>,</w:t>
      </w:r>
      <w:r w:rsidRPr="00CE72E5">
        <w:rPr>
          <w:rFonts w:ascii="仿宋" w:eastAsia="仿宋" w:hAnsi="仿宋" w:hint="eastAsia"/>
          <w:color w:val="000000"/>
          <w:sz w:val="32"/>
          <w:szCs w:val="32"/>
        </w:rPr>
        <w:t>期望企业对社会肩负更大的责任</w:t>
      </w:r>
      <w:r w:rsidRPr="00CE72E5">
        <w:rPr>
          <w:rFonts w:ascii="仿宋" w:eastAsia="仿宋" w:hAnsi="仿宋" w:hint="eastAsia"/>
          <w:color w:val="000000"/>
          <w:sz w:val="32"/>
          <w:szCs w:val="32"/>
        </w:rPr>
        <w:t>,</w:t>
      </w:r>
      <w:r w:rsidRPr="00CE72E5">
        <w:rPr>
          <w:rFonts w:ascii="仿宋" w:eastAsia="仿宋" w:hAnsi="仿宋" w:hint="eastAsia"/>
          <w:color w:val="000000"/>
          <w:sz w:val="32"/>
          <w:szCs w:val="32"/>
        </w:rPr>
        <w:t>而</w:t>
      </w:r>
      <w:r w:rsidRPr="00CE72E5">
        <w:rPr>
          <w:rFonts w:ascii="仿宋" w:eastAsia="仿宋" w:hAnsi="仿宋" w:hint="eastAsia"/>
          <w:color w:val="000000"/>
          <w:sz w:val="32"/>
          <w:szCs w:val="32"/>
        </w:rPr>
        <w:t>不只是做到政府和法律要求的。</w:t>
      </w:r>
      <w:r w:rsidR="00CE72E5">
        <w:rPr>
          <w:rFonts w:ascii="仿宋" w:eastAsia="仿宋" w:hAnsi="仿宋" w:hint="eastAsia"/>
          <w:color w:val="000000"/>
          <w:sz w:val="32"/>
          <w:szCs w:val="32"/>
        </w:rPr>
        <w:t>作为</w:t>
      </w:r>
      <w:r w:rsidRPr="00CE72E5">
        <w:rPr>
          <w:rFonts w:ascii="仿宋" w:eastAsia="仿宋" w:hAnsi="仿宋" w:hint="eastAsia"/>
          <w:color w:val="000000"/>
          <w:sz w:val="32"/>
          <w:szCs w:val="32"/>
        </w:rPr>
        <w:t>企业承担社会责任的主要方式</w:t>
      </w:r>
      <w:r w:rsidRPr="00CE72E5">
        <w:rPr>
          <w:rFonts w:ascii="仿宋" w:eastAsia="仿宋" w:hAnsi="仿宋" w:hint="eastAsia"/>
          <w:color w:val="000000"/>
          <w:sz w:val="32"/>
          <w:szCs w:val="32"/>
        </w:rPr>
        <w:t>,</w:t>
      </w:r>
      <w:r w:rsidRPr="00CE72E5">
        <w:rPr>
          <w:rFonts w:ascii="仿宋" w:eastAsia="仿宋" w:hAnsi="仿宋" w:hint="eastAsia"/>
          <w:color w:val="000000"/>
          <w:sz w:val="32"/>
          <w:szCs w:val="32"/>
        </w:rPr>
        <w:t>企业</w:t>
      </w:r>
      <w:r w:rsidRPr="00CE72E5">
        <w:rPr>
          <w:rFonts w:ascii="仿宋" w:eastAsia="仿宋" w:hAnsi="仿宋" w:hint="eastAsia"/>
          <w:color w:val="000000"/>
          <w:sz w:val="32"/>
          <w:szCs w:val="32"/>
        </w:rPr>
        <w:t>慈善</w:t>
      </w:r>
      <w:r w:rsidRPr="00CE72E5">
        <w:rPr>
          <w:rFonts w:ascii="仿宋" w:eastAsia="仿宋" w:hAnsi="仿宋" w:hint="eastAsia"/>
          <w:color w:val="000000"/>
          <w:sz w:val="32"/>
          <w:szCs w:val="32"/>
        </w:rPr>
        <w:t>捐赠</w:t>
      </w:r>
      <w:r w:rsidRPr="00CE72E5">
        <w:rPr>
          <w:rFonts w:ascii="仿宋" w:eastAsia="仿宋" w:hAnsi="仿宋" w:hint="eastAsia"/>
          <w:color w:val="000000"/>
          <w:sz w:val="32"/>
          <w:szCs w:val="32"/>
        </w:rPr>
        <w:t>行为得到了越来越多企业的关注。</w:t>
      </w:r>
      <w:r w:rsidRPr="00CE72E5">
        <w:rPr>
          <w:rFonts w:ascii="仿宋" w:eastAsia="仿宋" w:hAnsi="仿宋" w:hint="eastAsia"/>
          <w:color w:val="000000"/>
          <w:sz w:val="32"/>
          <w:szCs w:val="32"/>
        </w:rPr>
        <w:t>2021</w:t>
      </w:r>
      <w:r w:rsidRPr="00CE72E5">
        <w:rPr>
          <w:rFonts w:ascii="仿宋" w:eastAsia="仿宋" w:hAnsi="仿宋" w:hint="eastAsia"/>
          <w:color w:val="000000"/>
          <w:sz w:val="32"/>
          <w:szCs w:val="32"/>
        </w:rPr>
        <w:t>年</w:t>
      </w:r>
      <w:r w:rsidRPr="00CE72E5">
        <w:rPr>
          <w:rFonts w:ascii="仿宋" w:eastAsia="仿宋" w:hAnsi="仿宋" w:hint="eastAsia"/>
          <w:color w:val="000000"/>
          <w:sz w:val="32"/>
          <w:szCs w:val="32"/>
        </w:rPr>
        <w:t>7</w:t>
      </w:r>
      <w:r w:rsidRPr="00CE72E5">
        <w:rPr>
          <w:rFonts w:ascii="仿宋" w:eastAsia="仿宋" w:hAnsi="仿宋" w:hint="eastAsia"/>
          <w:color w:val="000000"/>
          <w:sz w:val="32"/>
          <w:szCs w:val="32"/>
        </w:rPr>
        <w:t>月</w:t>
      </w:r>
      <w:r w:rsidRPr="00CE72E5">
        <w:rPr>
          <w:rFonts w:ascii="仿宋" w:eastAsia="仿宋" w:hAnsi="仿宋" w:hint="eastAsia"/>
          <w:color w:val="000000"/>
          <w:sz w:val="32"/>
          <w:szCs w:val="32"/>
        </w:rPr>
        <w:t>20</w:t>
      </w:r>
      <w:r w:rsidRPr="00CE72E5">
        <w:rPr>
          <w:rFonts w:ascii="仿宋" w:eastAsia="仿宋" w:hAnsi="仿宋" w:hint="eastAsia"/>
          <w:color w:val="000000"/>
          <w:sz w:val="32"/>
          <w:szCs w:val="32"/>
        </w:rPr>
        <w:t>日明慈中心与中国慈善联合会召开了关于《企业慈善捐赠指引》交流会。会议邀请了中国慈善联合会、中国航天基金会、中华儿童慈善基金会、国家能源基金会、环球</w:t>
      </w:r>
      <w:proofErr w:type="gramStart"/>
      <w:r w:rsidRPr="00CE72E5">
        <w:rPr>
          <w:rFonts w:ascii="仿宋" w:eastAsia="仿宋" w:hAnsi="仿宋" w:hint="eastAsia"/>
          <w:color w:val="000000"/>
          <w:sz w:val="32"/>
          <w:szCs w:val="32"/>
        </w:rPr>
        <w:t>时报公益</w:t>
      </w:r>
      <w:proofErr w:type="gramEnd"/>
      <w:r w:rsidRPr="00CE72E5">
        <w:rPr>
          <w:rFonts w:ascii="仿宋" w:eastAsia="仿宋" w:hAnsi="仿宋" w:hint="eastAsia"/>
          <w:color w:val="000000"/>
          <w:sz w:val="32"/>
          <w:szCs w:val="32"/>
        </w:rPr>
        <w:t>基金会、泰康公益基金会、华铁传媒集团有限公司得专家们进行了交流分析。</w:t>
      </w:r>
    </w:p>
    <w:p w14:paraId="627B8E9D" w14:textId="1BB489A0" w:rsidR="00B77779" w:rsidRPr="00CE72E5" w:rsidRDefault="00ED1BEC">
      <w:pPr>
        <w:spacing w:line="276" w:lineRule="auto"/>
        <w:ind w:firstLineChars="200" w:firstLine="640"/>
        <w:rPr>
          <w:rFonts w:ascii="仿宋" w:eastAsia="仿宋" w:hAnsi="仿宋"/>
          <w:color w:val="000000"/>
          <w:sz w:val="32"/>
          <w:szCs w:val="32"/>
        </w:rPr>
      </w:pPr>
      <w:r w:rsidRPr="00CE72E5">
        <w:rPr>
          <w:rFonts w:ascii="仿宋" w:eastAsia="仿宋" w:hAnsi="仿宋" w:hint="eastAsia"/>
          <w:color w:val="000000"/>
          <w:sz w:val="32"/>
          <w:szCs w:val="32"/>
        </w:rPr>
        <w:lastRenderedPageBreak/>
        <w:t>中国慈善联合会刘</w:t>
      </w:r>
      <w:r w:rsidR="00CE72E5">
        <w:rPr>
          <w:rFonts w:ascii="仿宋" w:eastAsia="仿宋" w:hAnsi="仿宋" w:hint="eastAsia"/>
          <w:color w:val="000000"/>
          <w:sz w:val="32"/>
          <w:szCs w:val="32"/>
        </w:rPr>
        <w:t>福</w:t>
      </w:r>
      <w:r w:rsidRPr="00CE72E5">
        <w:rPr>
          <w:rFonts w:ascii="仿宋" w:eastAsia="仿宋" w:hAnsi="仿宋" w:hint="eastAsia"/>
          <w:color w:val="000000"/>
          <w:sz w:val="32"/>
          <w:szCs w:val="32"/>
        </w:rPr>
        <w:t>清会长对于《企业慈善捐赠指引》给予充分肯定，表示《企业</w:t>
      </w:r>
      <w:r w:rsidRPr="00CE72E5">
        <w:rPr>
          <w:rFonts w:ascii="仿宋" w:eastAsia="仿宋" w:hAnsi="仿宋" w:hint="eastAsia"/>
          <w:color w:val="000000"/>
          <w:sz w:val="32"/>
          <w:szCs w:val="32"/>
        </w:rPr>
        <w:t>慈善</w:t>
      </w:r>
      <w:r w:rsidRPr="00CE72E5">
        <w:rPr>
          <w:rFonts w:ascii="仿宋" w:eastAsia="仿宋" w:hAnsi="仿宋" w:hint="eastAsia"/>
          <w:color w:val="000000"/>
          <w:sz w:val="32"/>
          <w:szCs w:val="32"/>
        </w:rPr>
        <w:t>捐赠指引》</w:t>
      </w:r>
      <w:r w:rsidRPr="00CE72E5">
        <w:rPr>
          <w:rFonts w:ascii="仿宋" w:eastAsia="仿宋" w:hAnsi="仿宋" w:hint="eastAsia"/>
          <w:color w:val="000000"/>
          <w:sz w:val="32"/>
          <w:szCs w:val="32"/>
        </w:rPr>
        <w:t>满足了公众对企业社会责任的期望</w:t>
      </w:r>
      <w:r w:rsidRPr="00CE72E5">
        <w:rPr>
          <w:rFonts w:ascii="仿宋" w:eastAsia="仿宋" w:hAnsi="仿宋" w:hint="eastAsia"/>
          <w:color w:val="000000"/>
          <w:sz w:val="32"/>
          <w:szCs w:val="32"/>
        </w:rPr>
        <w:t>,</w:t>
      </w:r>
      <w:r w:rsidRPr="00CE72E5">
        <w:rPr>
          <w:rFonts w:ascii="仿宋" w:eastAsia="仿宋" w:hAnsi="仿宋" w:hint="eastAsia"/>
          <w:color w:val="000000"/>
          <w:sz w:val="32"/>
          <w:szCs w:val="32"/>
        </w:rPr>
        <w:t>减轻了这方面的压力</w:t>
      </w:r>
      <w:r w:rsidRPr="00CE72E5">
        <w:rPr>
          <w:rFonts w:ascii="仿宋" w:eastAsia="仿宋" w:hAnsi="仿宋" w:hint="eastAsia"/>
          <w:color w:val="000000"/>
          <w:sz w:val="32"/>
          <w:szCs w:val="32"/>
        </w:rPr>
        <w:t>。</w:t>
      </w:r>
      <w:r w:rsidRPr="00CE72E5">
        <w:rPr>
          <w:rFonts w:ascii="仿宋" w:eastAsia="仿宋" w:hAnsi="仿宋" w:hint="eastAsia"/>
          <w:color w:val="000000"/>
          <w:sz w:val="32"/>
          <w:szCs w:val="32"/>
        </w:rPr>
        <w:t>其次</w:t>
      </w:r>
      <w:r w:rsidRPr="00CE72E5">
        <w:rPr>
          <w:rFonts w:ascii="仿宋" w:eastAsia="仿宋" w:hAnsi="仿宋" w:hint="eastAsia"/>
          <w:color w:val="000000"/>
          <w:sz w:val="32"/>
          <w:szCs w:val="32"/>
        </w:rPr>
        <w:t>,</w:t>
      </w:r>
      <w:r w:rsidRPr="00CE72E5">
        <w:rPr>
          <w:rFonts w:ascii="仿宋" w:eastAsia="仿宋" w:hAnsi="仿宋" w:hint="eastAsia"/>
          <w:color w:val="000000"/>
          <w:sz w:val="32"/>
          <w:szCs w:val="32"/>
        </w:rPr>
        <w:t>企业慈善捐赠指引</w:t>
      </w:r>
      <w:r w:rsidRPr="00CE72E5">
        <w:rPr>
          <w:rFonts w:ascii="仿宋" w:eastAsia="仿宋" w:hAnsi="仿宋" w:hint="eastAsia"/>
          <w:color w:val="000000"/>
          <w:sz w:val="32"/>
          <w:szCs w:val="32"/>
        </w:rPr>
        <w:t>改善了企</w:t>
      </w:r>
      <w:r w:rsidRPr="00CE72E5">
        <w:rPr>
          <w:rFonts w:ascii="仿宋" w:eastAsia="仿宋" w:hAnsi="仿宋" w:hint="eastAsia"/>
          <w:color w:val="000000"/>
          <w:sz w:val="32"/>
          <w:szCs w:val="32"/>
        </w:rPr>
        <w:t>业外部的经营环境</w:t>
      </w:r>
      <w:r w:rsidRPr="00CE72E5">
        <w:rPr>
          <w:rFonts w:ascii="仿宋" w:eastAsia="仿宋" w:hAnsi="仿宋" w:hint="eastAsia"/>
          <w:color w:val="000000"/>
          <w:sz w:val="32"/>
          <w:szCs w:val="32"/>
        </w:rPr>
        <w:t>,</w:t>
      </w:r>
      <w:r w:rsidRPr="00CE72E5">
        <w:rPr>
          <w:rFonts w:ascii="仿宋" w:eastAsia="仿宋" w:hAnsi="仿宋" w:hint="eastAsia"/>
          <w:color w:val="000000"/>
          <w:sz w:val="32"/>
          <w:szCs w:val="32"/>
        </w:rPr>
        <w:t>给企业的可持续发展奠定了基础</w:t>
      </w:r>
      <w:r w:rsidRPr="00CE72E5">
        <w:rPr>
          <w:rFonts w:ascii="仿宋" w:eastAsia="仿宋" w:hAnsi="仿宋" w:hint="eastAsia"/>
          <w:color w:val="000000"/>
          <w:sz w:val="32"/>
          <w:szCs w:val="32"/>
        </w:rPr>
        <w:t>。</w:t>
      </w:r>
    </w:p>
    <w:p w14:paraId="391AFD18" w14:textId="77777777" w:rsidR="00B77779" w:rsidRPr="00CE72E5" w:rsidRDefault="00ED1BEC">
      <w:pPr>
        <w:spacing w:line="276" w:lineRule="auto"/>
        <w:ind w:firstLineChars="200" w:firstLine="640"/>
        <w:rPr>
          <w:rFonts w:ascii="仿宋" w:eastAsia="仿宋" w:hAnsi="仿宋"/>
          <w:color w:val="000000"/>
          <w:sz w:val="32"/>
          <w:szCs w:val="32"/>
        </w:rPr>
      </w:pPr>
      <w:r w:rsidRPr="00CE72E5">
        <w:rPr>
          <w:rFonts w:ascii="仿宋" w:eastAsia="仿宋" w:hAnsi="仿宋" w:hint="eastAsia"/>
          <w:color w:val="000000"/>
          <w:sz w:val="32"/>
          <w:szCs w:val="32"/>
        </w:rPr>
        <w:t>中华儿童慈善基金会理事长王林提出《企业慈善捐赠指引》要更好的宣传慈善习惯和弘扬慈善文化。慈善事业属于政治敏感度低，社会关注度高的行业。公益慈善在理论建设上标准化、专业化、指引化做的还有很多欠缺，需要更加完善。</w:t>
      </w:r>
    </w:p>
    <w:p w14:paraId="5B6C5650" w14:textId="77777777" w:rsidR="00B77779" w:rsidRPr="00CE72E5" w:rsidRDefault="00ED1BEC">
      <w:pPr>
        <w:spacing w:line="276" w:lineRule="auto"/>
        <w:ind w:firstLineChars="200" w:firstLine="640"/>
        <w:rPr>
          <w:rFonts w:ascii="仿宋" w:eastAsia="仿宋" w:hAnsi="仿宋"/>
          <w:color w:val="000000"/>
          <w:sz w:val="32"/>
          <w:szCs w:val="32"/>
        </w:rPr>
      </w:pPr>
      <w:r w:rsidRPr="00CE72E5">
        <w:rPr>
          <w:rFonts w:ascii="仿宋" w:eastAsia="仿宋" w:hAnsi="仿宋" w:hint="eastAsia"/>
          <w:color w:val="000000"/>
          <w:sz w:val="32"/>
          <w:szCs w:val="32"/>
        </w:rPr>
        <w:t>环球</w:t>
      </w:r>
      <w:proofErr w:type="gramStart"/>
      <w:r w:rsidRPr="00CE72E5">
        <w:rPr>
          <w:rFonts w:ascii="仿宋" w:eastAsia="仿宋" w:hAnsi="仿宋" w:hint="eastAsia"/>
          <w:color w:val="000000"/>
          <w:sz w:val="32"/>
          <w:szCs w:val="32"/>
        </w:rPr>
        <w:t>时报公益</w:t>
      </w:r>
      <w:proofErr w:type="gramEnd"/>
      <w:r w:rsidRPr="00CE72E5">
        <w:rPr>
          <w:rFonts w:ascii="仿宋" w:eastAsia="仿宋" w:hAnsi="仿宋" w:hint="eastAsia"/>
          <w:color w:val="000000"/>
          <w:sz w:val="32"/>
          <w:szCs w:val="32"/>
        </w:rPr>
        <w:t>基金会秘书长薛小乐提出《企业慈善捐赠指引》要朝着正能量方向进行，希望捐赠人与被捐赠人能有互动行为。捐赠传播途径要严格把控。</w:t>
      </w:r>
    </w:p>
    <w:p w14:paraId="663817AC" w14:textId="77777777" w:rsidR="00B77779" w:rsidRPr="00CE72E5" w:rsidRDefault="00ED1BEC">
      <w:pPr>
        <w:spacing w:line="276" w:lineRule="auto"/>
        <w:ind w:firstLineChars="200" w:firstLine="640"/>
        <w:rPr>
          <w:rFonts w:ascii="仿宋" w:eastAsia="仿宋" w:hAnsi="仿宋"/>
          <w:color w:val="000000"/>
          <w:sz w:val="32"/>
          <w:szCs w:val="32"/>
        </w:rPr>
      </w:pPr>
      <w:r w:rsidRPr="00CE72E5">
        <w:rPr>
          <w:rFonts w:ascii="仿宋" w:eastAsia="仿宋" w:hAnsi="仿宋" w:hint="eastAsia"/>
          <w:color w:val="000000"/>
          <w:sz w:val="32"/>
          <w:szCs w:val="32"/>
        </w:rPr>
        <w:t>中国航天基金会副秘书长袁茂富表示捐赠方与被捐赠方需要提供相对应的背景调查信息，慈善组织才能更好的规范相关的慈善文化。</w:t>
      </w:r>
      <w:r w:rsidRPr="00CE72E5">
        <w:rPr>
          <w:rFonts w:ascii="仿宋" w:eastAsia="仿宋" w:hAnsi="仿宋" w:hint="eastAsia"/>
          <w:color w:val="000000"/>
          <w:sz w:val="32"/>
          <w:szCs w:val="32"/>
        </w:rPr>
        <w:t>能够完善捐赠人服务条款，给企业带来更好的发展。</w:t>
      </w:r>
    </w:p>
    <w:p w14:paraId="10F10ECF" w14:textId="77777777" w:rsidR="00B77779" w:rsidRPr="00CE72E5" w:rsidRDefault="00ED1BEC">
      <w:pPr>
        <w:spacing w:line="276" w:lineRule="auto"/>
        <w:ind w:firstLineChars="200" w:firstLine="640"/>
        <w:rPr>
          <w:rFonts w:ascii="仿宋" w:eastAsia="仿宋" w:hAnsi="仿宋"/>
          <w:color w:val="000000"/>
          <w:sz w:val="32"/>
          <w:szCs w:val="32"/>
        </w:rPr>
      </w:pPr>
      <w:r w:rsidRPr="00CE72E5">
        <w:rPr>
          <w:rFonts w:ascii="仿宋" w:eastAsia="仿宋" w:hAnsi="仿宋" w:hint="eastAsia"/>
          <w:color w:val="000000"/>
          <w:sz w:val="32"/>
          <w:szCs w:val="32"/>
        </w:rPr>
        <w:t>民政部标准化委员会肖成龙委员对标准形式给予指导。</w:t>
      </w:r>
    </w:p>
    <w:p w14:paraId="0AD1CF34" w14:textId="77777777" w:rsidR="00B77779" w:rsidRPr="00CE72E5" w:rsidRDefault="00ED1BEC">
      <w:pPr>
        <w:spacing w:line="276" w:lineRule="auto"/>
        <w:ind w:firstLineChars="200" w:firstLine="640"/>
        <w:rPr>
          <w:rFonts w:ascii="仿宋" w:eastAsia="仿宋" w:hAnsi="仿宋"/>
          <w:color w:val="000000"/>
          <w:sz w:val="32"/>
          <w:szCs w:val="32"/>
        </w:rPr>
      </w:pPr>
      <w:r w:rsidRPr="00CE72E5">
        <w:rPr>
          <w:rFonts w:ascii="仿宋" w:eastAsia="仿宋" w:hAnsi="仿宋" w:hint="eastAsia"/>
          <w:color w:val="000000"/>
          <w:sz w:val="32"/>
          <w:szCs w:val="32"/>
        </w:rPr>
        <w:t>《企业慈善捐赠指引》得到专家们一致认可，同意立项。认为企业慈善事业是一个跨时代的行业。大家对此次交流会内容表示肯定，希望企业慈善捐赠行为越来越规范、标准化。</w:t>
      </w:r>
    </w:p>
    <w:p w14:paraId="2E06B39E" w14:textId="77777777" w:rsidR="00B77779" w:rsidRPr="00CE72E5" w:rsidRDefault="00ED1BEC">
      <w:pPr>
        <w:spacing w:line="276" w:lineRule="auto"/>
        <w:ind w:firstLineChars="200" w:firstLine="640"/>
        <w:rPr>
          <w:rFonts w:ascii="仿宋" w:eastAsia="仿宋" w:hAnsi="仿宋" w:cs="方正仿宋_GB2312"/>
          <w:sz w:val="32"/>
          <w:szCs w:val="32"/>
        </w:rPr>
      </w:pPr>
      <w:r w:rsidRPr="00CE72E5">
        <w:rPr>
          <w:rFonts w:ascii="仿宋" w:eastAsia="仿宋" w:hAnsi="仿宋" w:hint="eastAsia"/>
          <w:color w:val="000000"/>
          <w:sz w:val="32"/>
          <w:szCs w:val="32"/>
        </w:rPr>
        <w:t>会议与</w:t>
      </w:r>
      <w:r w:rsidRPr="00CE72E5">
        <w:rPr>
          <w:rFonts w:ascii="仿宋" w:eastAsia="仿宋" w:hAnsi="仿宋" w:hint="eastAsia"/>
          <w:color w:val="000000"/>
          <w:sz w:val="32"/>
          <w:szCs w:val="32"/>
        </w:rPr>
        <w:t>2021</w:t>
      </w:r>
      <w:r w:rsidRPr="00CE72E5">
        <w:rPr>
          <w:rFonts w:ascii="仿宋" w:eastAsia="仿宋" w:hAnsi="仿宋" w:hint="eastAsia"/>
          <w:color w:val="000000"/>
          <w:sz w:val="32"/>
          <w:szCs w:val="32"/>
        </w:rPr>
        <w:t>年</w:t>
      </w:r>
      <w:r w:rsidRPr="00CE72E5">
        <w:rPr>
          <w:rFonts w:ascii="仿宋" w:eastAsia="仿宋" w:hAnsi="仿宋" w:hint="eastAsia"/>
          <w:color w:val="000000"/>
          <w:sz w:val="32"/>
          <w:szCs w:val="32"/>
        </w:rPr>
        <w:t>8</w:t>
      </w:r>
      <w:r w:rsidRPr="00CE72E5">
        <w:rPr>
          <w:rFonts w:ascii="仿宋" w:eastAsia="仿宋" w:hAnsi="仿宋" w:hint="eastAsia"/>
          <w:color w:val="000000"/>
          <w:sz w:val="32"/>
          <w:szCs w:val="32"/>
        </w:rPr>
        <w:t>月</w:t>
      </w:r>
      <w:r w:rsidRPr="00CE72E5">
        <w:rPr>
          <w:rFonts w:ascii="仿宋" w:eastAsia="仿宋" w:hAnsi="仿宋" w:hint="eastAsia"/>
          <w:color w:val="000000"/>
          <w:sz w:val="32"/>
          <w:szCs w:val="32"/>
        </w:rPr>
        <w:t>17</w:t>
      </w:r>
      <w:r w:rsidRPr="00CE72E5">
        <w:rPr>
          <w:rFonts w:ascii="仿宋" w:eastAsia="仿宋" w:hAnsi="仿宋" w:hint="eastAsia"/>
          <w:color w:val="000000"/>
          <w:sz w:val="32"/>
          <w:szCs w:val="32"/>
        </w:rPr>
        <w:t>日在中国慈善联合会通过专家评</w:t>
      </w:r>
      <w:r w:rsidRPr="00CE72E5">
        <w:rPr>
          <w:rFonts w:ascii="仿宋" w:eastAsia="仿宋" w:hAnsi="仿宋" w:hint="eastAsia"/>
          <w:color w:val="000000"/>
          <w:sz w:val="32"/>
          <w:szCs w:val="32"/>
        </w:rPr>
        <w:lastRenderedPageBreak/>
        <w:t>审准予立项。</w:t>
      </w:r>
    </w:p>
    <w:p w14:paraId="522570F1" w14:textId="77777777" w:rsidR="00B77779" w:rsidRPr="00CE72E5" w:rsidRDefault="00ED1BEC">
      <w:pPr>
        <w:spacing w:line="276" w:lineRule="auto"/>
        <w:ind w:firstLineChars="200" w:firstLine="640"/>
        <w:rPr>
          <w:rFonts w:ascii="仿宋" w:eastAsia="仿宋" w:hAnsi="仿宋"/>
          <w:color w:val="000000"/>
          <w:sz w:val="32"/>
          <w:szCs w:val="32"/>
        </w:rPr>
      </w:pPr>
      <w:r w:rsidRPr="00CE72E5">
        <w:rPr>
          <w:rFonts w:ascii="仿宋" w:eastAsia="仿宋" w:hAnsi="仿宋" w:hint="eastAsia"/>
          <w:color w:val="000000"/>
          <w:sz w:val="32"/>
          <w:szCs w:val="32"/>
        </w:rPr>
        <w:t>2021</w:t>
      </w:r>
      <w:r w:rsidRPr="00CE72E5">
        <w:rPr>
          <w:rFonts w:ascii="仿宋" w:eastAsia="仿宋" w:hAnsi="仿宋" w:hint="eastAsia"/>
          <w:color w:val="000000"/>
          <w:sz w:val="32"/>
          <w:szCs w:val="32"/>
        </w:rPr>
        <w:t>年</w:t>
      </w:r>
      <w:r w:rsidRPr="00CE72E5">
        <w:rPr>
          <w:rFonts w:ascii="仿宋" w:eastAsia="仿宋" w:hAnsi="仿宋" w:hint="eastAsia"/>
          <w:color w:val="000000"/>
          <w:sz w:val="32"/>
          <w:szCs w:val="32"/>
        </w:rPr>
        <w:t>8</w:t>
      </w:r>
      <w:r w:rsidRPr="00CE72E5">
        <w:rPr>
          <w:rFonts w:ascii="仿宋" w:eastAsia="仿宋" w:hAnsi="仿宋" w:hint="eastAsia"/>
          <w:color w:val="000000"/>
          <w:sz w:val="32"/>
          <w:szCs w:val="32"/>
        </w:rPr>
        <w:t>月</w:t>
      </w:r>
      <w:r w:rsidRPr="00CE72E5">
        <w:rPr>
          <w:rFonts w:ascii="仿宋" w:eastAsia="仿宋" w:hAnsi="仿宋" w:hint="eastAsia"/>
          <w:color w:val="000000"/>
          <w:sz w:val="32"/>
          <w:szCs w:val="32"/>
        </w:rPr>
        <w:t>26</w:t>
      </w:r>
      <w:r w:rsidRPr="00CE72E5">
        <w:rPr>
          <w:rFonts w:ascii="仿宋" w:eastAsia="仿宋" w:hAnsi="仿宋" w:hint="eastAsia"/>
          <w:color w:val="000000"/>
          <w:sz w:val="32"/>
          <w:szCs w:val="32"/>
        </w:rPr>
        <w:t>日在中国航天基金会第二次召开第二次关于企业慈善捐赠指引专家讨论会议。会议邀请了北京数字谷科技发展集团有限公司、中国企业文化促进会、国投创益产业基金管理有限公司（中央企业社会责任基金会筹备组）、中国石油和化学工业联合会、中国社会福利基金会、中国航天基金会、公益时报、中国慈善联合会征集各专家意见。</w:t>
      </w:r>
    </w:p>
    <w:p w14:paraId="016A9E67" w14:textId="77777777" w:rsidR="00B77779" w:rsidRPr="00CE72E5" w:rsidRDefault="00B77779">
      <w:pPr>
        <w:spacing w:line="276" w:lineRule="auto"/>
        <w:ind w:firstLineChars="200" w:firstLine="640"/>
        <w:rPr>
          <w:rFonts w:ascii="仿宋" w:eastAsia="仿宋" w:hAnsi="仿宋"/>
          <w:color w:val="000000"/>
          <w:sz w:val="32"/>
          <w:szCs w:val="32"/>
        </w:rPr>
      </w:pPr>
    </w:p>
    <w:p w14:paraId="724B8884" w14:textId="77777777" w:rsidR="00B77779" w:rsidRPr="00CE72E5" w:rsidRDefault="00ED1BEC">
      <w:pPr>
        <w:spacing w:line="276" w:lineRule="auto"/>
        <w:ind w:firstLineChars="200" w:firstLine="640"/>
        <w:rPr>
          <w:rFonts w:ascii="仿宋" w:eastAsia="仿宋" w:hAnsi="仿宋"/>
          <w:color w:val="000000"/>
          <w:sz w:val="32"/>
          <w:szCs w:val="32"/>
        </w:rPr>
      </w:pPr>
      <w:r w:rsidRPr="00CE72E5">
        <w:rPr>
          <w:rFonts w:ascii="仿宋" w:eastAsia="仿宋" w:hAnsi="仿宋" w:hint="eastAsia"/>
          <w:color w:val="000000"/>
          <w:sz w:val="32"/>
          <w:szCs w:val="32"/>
        </w:rPr>
        <w:t>中国慈善联合会标准部副主任孙璐璐表示指引将对第三次分配工作的推动发挥积极意义。</w:t>
      </w:r>
    </w:p>
    <w:p w14:paraId="56C12B83" w14:textId="77777777" w:rsidR="00B77779" w:rsidRPr="00CE72E5" w:rsidRDefault="00ED1BEC">
      <w:pPr>
        <w:spacing w:line="276" w:lineRule="auto"/>
        <w:ind w:firstLineChars="200" w:firstLine="640"/>
        <w:rPr>
          <w:rFonts w:ascii="仿宋" w:eastAsia="仿宋" w:hAnsi="仿宋"/>
          <w:color w:val="000000"/>
          <w:sz w:val="32"/>
          <w:szCs w:val="32"/>
        </w:rPr>
      </w:pPr>
      <w:r w:rsidRPr="00CE72E5">
        <w:rPr>
          <w:rFonts w:ascii="仿宋" w:eastAsia="仿宋" w:hAnsi="仿宋" w:hint="eastAsia"/>
          <w:color w:val="000000"/>
          <w:sz w:val="32"/>
          <w:szCs w:val="32"/>
        </w:rPr>
        <w:t>公益时报主编</w:t>
      </w:r>
      <w:proofErr w:type="gramStart"/>
      <w:r w:rsidRPr="00CE72E5">
        <w:rPr>
          <w:rFonts w:ascii="仿宋" w:eastAsia="仿宋" w:hAnsi="仿宋" w:hint="eastAsia"/>
          <w:color w:val="000000"/>
          <w:sz w:val="32"/>
          <w:szCs w:val="32"/>
        </w:rPr>
        <w:t>赵冠军</w:t>
      </w:r>
      <w:proofErr w:type="gramEnd"/>
      <w:r w:rsidRPr="00CE72E5">
        <w:rPr>
          <w:rFonts w:ascii="仿宋" w:eastAsia="仿宋" w:hAnsi="仿宋" w:hint="eastAsia"/>
          <w:color w:val="000000"/>
          <w:sz w:val="32"/>
          <w:szCs w:val="32"/>
        </w:rPr>
        <w:t>对指引在给企业捐赠前、捐赠中、捐赠后的工作思路给予指导。</w:t>
      </w:r>
    </w:p>
    <w:p w14:paraId="4BAF13D6" w14:textId="77777777" w:rsidR="00B77779" w:rsidRPr="00CE72E5" w:rsidRDefault="00ED1BEC">
      <w:pPr>
        <w:spacing w:line="276" w:lineRule="auto"/>
        <w:ind w:firstLineChars="200" w:firstLine="640"/>
        <w:rPr>
          <w:rFonts w:ascii="仿宋" w:eastAsia="仿宋" w:hAnsi="仿宋"/>
          <w:color w:val="000000"/>
          <w:sz w:val="32"/>
          <w:szCs w:val="32"/>
        </w:rPr>
      </w:pPr>
      <w:r w:rsidRPr="00CE72E5">
        <w:rPr>
          <w:rFonts w:ascii="仿宋" w:eastAsia="仿宋" w:hAnsi="仿宋" w:hint="eastAsia"/>
          <w:color w:val="000000"/>
          <w:sz w:val="32"/>
          <w:szCs w:val="32"/>
        </w:rPr>
        <w:t>中国企业文化促进会秘书长赵国</w:t>
      </w:r>
      <w:proofErr w:type="gramStart"/>
      <w:r w:rsidRPr="00CE72E5">
        <w:rPr>
          <w:rFonts w:ascii="仿宋" w:eastAsia="仿宋" w:hAnsi="仿宋" w:hint="eastAsia"/>
          <w:color w:val="000000"/>
          <w:sz w:val="32"/>
          <w:szCs w:val="32"/>
        </w:rPr>
        <w:t>斌</w:t>
      </w:r>
      <w:proofErr w:type="gramEnd"/>
      <w:r w:rsidRPr="00CE72E5">
        <w:rPr>
          <w:rFonts w:ascii="仿宋" w:eastAsia="仿宋" w:hAnsi="仿宋" w:hint="eastAsia"/>
          <w:color w:val="000000"/>
          <w:sz w:val="32"/>
          <w:szCs w:val="32"/>
        </w:rPr>
        <w:t>表示企业慈</w:t>
      </w:r>
      <w:r w:rsidRPr="00CE72E5">
        <w:rPr>
          <w:rFonts w:ascii="仿宋" w:eastAsia="仿宋" w:hAnsi="仿宋" w:hint="eastAsia"/>
          <w:color w:val="000000"/>
          <w:sz w:val="32"/>
          <w:szCs w:val="32"/>
        </w:rPr>
        <w:t>善文化将是推动企业文化建设的重要方面，指引文件具有重要的示范作用。</w:t>
      </w:r>
    </w:p>
    <w:p w14:paraId="1698CB04" w14:textId="77777777" w:rsidR="00B77779" w:rsidRPr="00CE72E5" w:rsidRDefault="00ED1BEC">
      <w:pPr>
        <w:spacing w:line="276" w:lineRule="auto"/>
        <w:ind w:firstLineChars="200" w:firstLine="640"/>
        <w:rPr>
          <w:rFonts w:ascii="仿宋" w:eastAsia="仿宋" w:hAnsi="仿宋"/>
          <w:color w:val="000000"/>
          <w:sz w:val="32"/>
          <w:szCs w:val="32"/>
        </w:rPr>
      </w:pPr>
      <w:r w:rsidRPr="00CE72E5">
        <w:rPr>
          <w:rFonts w:ascii="仿宋" w:eastAsia="仿宋" w:hAnsi="仿宋" w:hint="eastAsia"/>
          <w:color w:val="000000"/>
          <w:sz w:val="32"/>
          <w:szCs w:val="32"/>
        </w:rPr>
        <w:t>中国石油和化学工业联合会人力资源和会员部副处长齐婧姝表示将积极推动其会员单位将积极在环境保护、科学技术等方面开展工作。</w:t>
      </w:r>
    </w:p>
    <w:p w14:paraId="7EB11CDC" w14:textId="77777777" w:rsidR="00B77779" w:rsidRPr="00CE72E5" w:rsidRDefault="00ED1BEC">
      <w:pPr>
        <w:spacing w:line="276" w:lineRule="auto"/>
        <w:ind w:firstLineChars="200" w:firstLine="640"/>
        <w:rPr>
          <w:rFonts w:ascii="仿宋" w:eastAsia="仿宋" w:hAnsi="仿宋"/>
          <w:color w:val="000000"/>
          <w:sz w:val="32"/>
          <w:szCs w:val="32"/>
        </w:rPr>
      </w:pPr>
      <w:r w:rsidRPr="00CE72E5">
        <w:rPr>
          <w:rFonts w:ascii="仿宋" w:eastAsia="仿宋" w:hAnsi="仿宋" w:hint="eastAsia"/>
          <w:color w:val="000000"/>
          <w:sz w:val="32"/>
          <w:szCs w:val="32"/>
        </w:rPr>
        <w:t>国投创益产业基金管理有限公司（中央企业社会责任基金会筹备组）李岩秘书长、胡梦欣项目经理、闫力冬项目经理表示该指引将给企业慈善捐赠带来指导作用。</w:t>
      </w:r>
    </w:p>
    <w:p w14:paraId="6BAD1DE7" w14:textId="77777777" w:rsidR="00B77779" w:rsidRPr="00CE72E5" w:rsidRDefault="00ED1BEC">
      <w:pPr>
        <w:spacing w:line="276" w:lineRule="auto"/>
        <w:ind w:firstLineChars="200" w:firstLine="640"/>
        <w:rPr>
          <w:rFonts w:ascii="仿宋" w:eastAsia="仿宋" w:hAnsi="仿宋"/>
          <w:color w:val="000000"/>
          <w:sz w:val="32"/>
          <w:szCs w:val="32"/>
        </w:rPr>
      </w:pPr>
      <w:r w:rsidRPr="00CE72E5">
        <w:rPr>
          <w:rFonts w:ascii="仿宋" w:eastAsia="仿宋" w:hAnsi="仿宋" w:hint="eastAsia"/>
          <w:color w:val="000000"/>
          <w:sz w:val="32"/>
          <w:szCs w:val="32"/>
        </w:rPr>
        <w:t>北京数字谷科技发展集团有限公司党支部书记、副总经</w:t>
      </w:r>
      <w:r w:rsidRPr="00CE72E5">
        <w:rPr>
          <w:rFonts w:ascii="仿宋" w:eastAsia="仿宋" w:hAnsi="仿宋" w:hint="eastAsia"/>
          <w:color w:val="000000"/>
          <w:sz w:val="32"/>
          <w:szCs w:val="32"/>
        </w:rPr>
        <w:lastRenderedPageBreak/>
        <w:t>理刘青建议将工作流程贴近企业工作，让企业更清晰。</w:t>
      </w:r>
    </w:p>
    <w:p w14:paraId="6B611C07" w14:textId="77777777" w:rsidR="00B77779" w:rsidRPr="00CE72E5" w:rsidRDefault="00ED1BEC">
      <w:pPr>
        <w:spacing w:line="276" w:lineRule="auto"/>
        <w:ind w:firstLineChars="200" w:firstLine="640"/>
        <w:rPr>
          <w:rFonts w:ascii="仿宋" w:eastAsia="仿宋" w:hAnsi="仿宋"/>
          <w:color w:val="000000"/>
          <w:sz w:val="32"/>
          <w:szCs w:val="32"/>
        </w:rPr>
      </w:pPr>
      <w:r w:rsidRPr="00CE72E5">
        <w:rPr>
          <w:rFonts w:ascii="仿宋" w:eastAsia="仿宋" w:hAnsi="仿宋" w:hint="eastAsia"/>
          <w:color w:val="000000"/>
          <w:sz w:val="32"/>
          <w:szCs w:val="32"/>
        </w:rPr>
        <w:t>中国航天基金会秘书长王程建议增加涉外单位开展工作需遵守中华人民共和国规定条款。</w:t>
      </w:r>
    </w:p>
    <w:p w14:paraId="077D3527" w14:textId="77777777" w:rsidR="00B77779" w:rsidRPr="00CE72E5" w:rsidRDefault="00ED1BEC">
      <w:pPr>
        <w:spacing w:line="276" w:lineRule="auto"/>
        <w:ind w:firstLineChars="200" w:firstLine="640"/>
        <w:rPr>
          <w:rFonts w:ascii="仿宋" w:eastAsia="仿宋" w:hAnsi="仿宋"/>
          <w:color w:val="000000"/>
          <w:sz w:val="32"/>
          <w:szCs w:val="32"/>
        </w:rPr>
      </w:pPr>
      <w:r w:rsidRPr="00CE72E5">
        <w:rPr>
          <w:rFonts w:ascii="仿宋" w:eastAsia="仿宋" w:hAnsi="仿宋" w:hint="eastAsia"/>
          <w:color w:val="000000"/>
          <w:sz w:val="32"/>
          <w:szCs w:val="32"/>
        </w:rPr>
        <w:t>中</w:t>
      </w:r>
      <w:r w:rsidRPr="00CE72E5">
        <w:rPr>
          <w:rFonts w:ascii="仿宋" w:eastAsia="仿宋" w:hAnsi="仿宋" w:hint="eastAsia"/>
          <w:color w:val="000000"/>
          <w:sz w:val="32"/>
          <w:szCs w:val="32"/>
        </w:rPr>
        <w:t>国社会福利基金会理事长戚学森表示，该指引适逢其时，契合国家第三次分配要求、为企业捐赠提供了可查可用，建议能先发布指引，内容在使用过程中可以不断完善，建议指引文件发布后配套解释工作以便于企业能够有更具体的操作参考，在并建议在文件中将“保证受益人权益”修改为“保障人权”以体现我国参加人权公约的相关规定，建议完善工作流程图、用语更中性。</w:t>
      </w:r>
    </w:p>
    <w:p w14:paraId="0E5B22F6" w14:textId="08669701" w:rsidR="00B77779" w:rsidRPr="00CE72E5" w:rsidRDefault="00ED1BEC" w:rsidP="00CE72E5">
      <w:pPr>
        <w:spacing w:line="276" w:lineRule="auto"/>
        <w:ind w:firstLineChars="200" w:firstLine="640"/>
        <w:rPr>
          <w:rFonts w:ascii="仿宋" w:eastAsia="仿宋" w:hAnsi="仿宋" w:hint="eastAsia"/>
          <w:color w:val="000000"/>
          <w:sz w:val="32"/>
          <w:szCs w:val="32"/>
        </w:rPr>
      </w:pPr>
      <w:r w:rsidRPr="00CE72E5">
        <w:rPr>
          <w:rFonts w:ascii="仿宋" w:eastAsia="仿宋" w:hAnsi="仿宋" w:hint="eastAsia"/>
          <w:color w:val="000000"/>
          <w:sz w:val="32"/>
          <w:szCs w:val="32"/>
        </w:rPr>
        <w:t>与会专家对此次交流会内容表示肯定，希望企业慈善行为指引越来越规范、标准化。</w:t>
      </w:r>
    </w:p>
    <w:p w14:paraId="5958EF7D" w14:textId="77777777" w:rsidR="00B77779" w:rsidRPr="00CE72E5" w:rsidRDefault="00ED1BEC">
      <w:pPr>
        <w:spacing w:line="276" w:lineRule="auto"/>
        <w:ind w:firstLineChars="200" w:firstLine="640"/>
        <w:rPr>
          <w:rFonts w:ascii="仿宋" w:eastAsia="仿宋" w:hAnsi="仿宋"/>
          <w:color w:val="000000"/>
          <w:sz w:val="32"/>
          <w:szCs w:val="32"/>
        </w:rPr>
      </w:pPr>
      <w:r w:rsidRPr="00CE72E5">
        <w:rPr>
          <w:rFonts w:ascii="仿宋" w:eastAsia="仿宋" w:hAnsi="仿宋" w:hint="eastAsia"/>
          <w:color w:val="000000"/>
          <w:sz w:val="32"/>
          <w:szCs w:val="32"/>
        </w:rPr>
        <w:t>2021</w:t>
      </w:r>
      <w:r w:rsidRPr="00CE72E5">
        <w:rPr>
          <w:rFonts w:ascii="仿宋" w:eastAsia="仿宋" w:hAnsi="仿宋" w:hint="eastAsia"/>
          <w:color w:val="000000"/>
          <w:sz w:val="32"/>
          <w:szCs w:val="32"/>
        </w:rPr>
        <w:t>年</w:t>
      </w:r>
      <w:r w:rsidRPr="00CE72E5">
        <w:rPr>
          <w:rFonts w:ascii="仿宋" w:eastAsia="仿宋" w:hAnsi="仿宋" w:hint="eastAsia"/>
          <w:color w:val="000000"/>
          <w:sz w:val="32"/>
          <w:szCs w:val="32"/>
        </w:rPr>
        <w:t>8</w:t>
      </w:r>
      <w:r w:rsidRPr="00CE72E5">
        <w:rPr>
          <w:rFonts w:ascii="仿宋" w:eastAsia="仿宋" w:hAnsi="仿宋" w:hint="eastAsia"/>
          <w:color w:val="000000"/>
          <w:sz w:val="32"/>
          <w:szCs w:val="32"/>
        </w:rPr>
        <w:t>月</w:t>
      </w:r>
      <w:r w:rsidRPr="00CE72E5">
        <w:rPr>
          <w:rFonts w:ascii="仿宋" w:eastAsia="仿宋" w:hAnsi="仿宋" w:hint="eastAsia"/>
          <w:color w:val="000000"/>
          <w:sz w:val="32"/>
          <w:szCs w:val="32"/>
        </w:rPr>
        <w:t>27</w:t>
      </w:r>
      <w:r w:rsidRPr="00CE72E5">
        <w:rPr>
          <w:rFonts w:ascii="仿宋" w:eastAsia="仿宋" w:hAnsi="仿宋" w:hint="eastAsia"/>
          <w:color w:val="000000"/>
          <w:sz w:val="32"/>
          <w:szCs w:val="32"/>
        </w:rPr>
        <w:t>日工作组根据与会专家的意见和建议对指引文件进行了修改和完善。</w:t>
      </w:r>
    </w:p>
    <w:p w14:paraId="43E86A1F" w14:textId="77777777" w:rsidR="00B77779" w:rsidRPr="00CE72E5" w:rsidRDefault="00ED1BEC">
      <w:pPr>
        <w:spacing w:line="276" w:lineRule="auto"/>
        <w:ind w:firstLineChars="200" w:firstLine="640"/>
        <w:rPr>
          <w:rFonts w:ascii="仿宋" w:eastAsia="仿宋" w:hAnsi="仿宋"/>
          <w:color w:val="000000"/>
          <w:sz w:val="32"/>
          <w:szCs w:val="32"/>
        </w:rPr>
      </w:pPr>
      <w:r w:rsidRPr="00CE72E5">
        <w:rPr>
          <w:rFonts w:ascii="仿宋" w:eastAsia="仿宋" w:hAnsi="仿宋" w:hint="eastAsia"/>
          <w:color w:val="000000"/>
          <w:sz w:val="32"/>
          <w:szCs w:val="32"/>
        </w:rPr>
        <w:t>2021</w:t>
      </w:r>
      <w:r w:rsidRPr="00CE72E5">
        <w:rPr>
          <w:rFonts w:ascii="仿宋" w:eastAsia="仿宋" w:hAnsi="仿宋" w:hint="eastAsia"/>
          <w:color w:val="000000"/>
          <w:sz w:val="32"/>
          <w:szCs w:val="32"/>
        </w:rPr>
        <w:t>年</w:t>
      </w:r>
      <w:r w:rsidRPr="00CE72E5">
        <w:rPr>
          <w:rFonts w:ascii="仿宋" w:eastAsia="仿宋" w:hAnsi="仿宋" w:hint="eastAsia"/>
          <w:color w:val="000000"/>
          <w:sz w:val="32"/>
          <w:szCs w:val="32"/>
        </w:rPr>
        <w:t>8</w:t>
      </w:r>
      <w:r w:rsidRPr="00CE72E5">
        <w:rPr>
          <w:rFonts w:ascii="仿宋" w:eastAsia="仿宋" w:hAnsi="仿宋" w:hint="eastAsia"/>
          <w:color w:val="000000"/>
          <w:sz w:val="32"/>
          <w:szCs w:val="32"/>
        </w:rPr>
        <w:t>月</w:t>
      </w:r>
      <w:r w:rsidRPr="00CE72E5">
        <w:rPr>
          <w:rFonts w:ascii="仿宋" w:eastAsia="仿宋" w:hAnsi="仿宋" w:hint="eastAsia"/>
          <w:color w:val="000000"/>
          <w:sz w:val="32"/>
          <w:szCs w:val="32"/>
        </w:rPr>
        <w:t>27</w:t>
      </w:r>
      <w:r w:rsidRPr="00CE72E5">
        <w:rPr>
          <w:rFonts w:ascii="仿宋" w:eastAsia="仿宋" w:hAnsi="仿宋" w:hint="eastAsia"/>
          <w:color w:val="000000"/>
          <w:sz w:val="32"/>
          <w:szCs w:val="32"/>
        </w:rPr>
        <w:t>日</w:t>
      </w:r>
      <w:r w:rsidRPr="00CE72E5">
        <w:rPr>
          <w:rFonts w:ascii="仿宋" w:eastAsia="仿宋" w:hAnsi="仿宋" w:hint="eastAsia"/>
          <w:color w:val="000000"/>
          <w:sz w:val="32"/>
          <w:szCs w:val="32"/>
        </w:rPr>
        <w:t>-2021</w:t>
      </w:r>
      <w:r w:rsidRPr="00CE72E5">
        <w:rPr>
          <w:rFonts w:ascii="仿宋" w:eastAsia="仿宋" w:hAnsi="仿宋" w:hint="eastAsia"/>
          <w:color w:val="000000"/>
          <w:sz w:val="32"/>
          <w:szCs w:val="32"/>
        </w:rPr>
        <w:t>年</w:t>
      </w:r>
      <w:r w:rsidRPr="00CE72E5">
        <w:rPr>
          <w:rFonts w:ascii="仿宋" w:eastAsia="仿宋" w:hAnsi="仿宋" w:hint="eastAsia"/>
          <w:color w:val="000000"/>
          <w:sz w:val="32"/>
          <w:szCs w:val="32"/>
        </w:rPr>
        <w:t>10</w:t>
      </w:r>
      <w:r w:rsidRPr="00CE72E5">
        <w:rPr>
          <w:rFonts w:ascii="仿宋" w:eastAsia="仿宋" w:hAnsi="仿宋" w:hint="eastAsia"/>
          <w:color w:val="000000"/>
          <w:sz w:val="32"/>
          <w:szCs w:val="32"/>
        </w:rPr>
        <w:t>月</w:t>
      </w:r>
      <w:r w:rsidRPr="00CE72E5">
        <w:rPr>
          <w:rFonts w:ascii="仿宋" w:eastAsia="仿宋" w:hAnsi="仿宋" w:hint="eastAsia"/>
          <w:color w:val="000000"/>
          <w:sz w:val="32"/>
          <w:szCs w:val="32"/>
        </w:rPr>
        <w:t>26</w:t>
      </w:r>
      <w:r w:rsidRPr="00CE72E5">
        <w:rPr>
          <w:rFonts w:ascii="仿宋" w:eastAsia="仿宋" w:hAnsi="仿宋" w:hint="eastAsia"/>
          <w:color w:val="000000"/>
          <w:sz w:val="32"/>
          <w:szCs w:val="32"/>
        </w:rPr>
        <w:t>日对《企业慈善捐赠指引进行》的术语、内容文字、参考文献等进行了修改，形成《企业慈善捐赠指引》公开征集意见版本。</w:t>
      </w:r>
    </w:p>
    <w:p w14:paraId="58B45DBB" w14:textId="77777777" w:rsidR="00B77779" w:rsidRDefault="00B77779">
      <w:pPr>
        <w:spacing w:line="276" w:lineRule="auto"/>
        <w:rPr>
          <w:rFonts w:ascii="方正仿宋_GB2312" w:eastAsia="方正仿宋_GB2312" w:hAnsi="方正仿宋_GB2312" w:cs="方正仿宋_GB2312"/>
          <w:sz w:val="32"/>
          <w:szCs w:val="32"/>
        </w:rPr>
      </w:pPr>
    </w:p>
    <w:sectPr w:rsidR="00B777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FB8F8" w14:textId="77777777" w:rsidR="00ED1BEC" w:rsidRDefault="00ED1BEC">
      <w:r>
        <w:separator/>
      </w:r>
    </w:p>
  </w:endnote>
  <w:endnote w:type="continuationSeparator" w:id="0">
    <w:p w14:paraId="07B86A84" w14:textId="77777777" w:rsidR="00ED1BEC" w:rsidRDefault="00ED1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embedRegular r:id="rId1" w:subsetted="1" w:fontKey="{B5DB6AA2-B8D1-434A-9DC2-B7DD38BECBC7}"/>
    <w:embedBold r:id="rId2" w:subsetted="1" w:fontKey="{1684CAED-C9C9-447A-AAC4-8D6A1B259AA1}"/>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3" w:subsetted="1" w:fontKey="{930CF5BD-03CE-4F04-8D15-147F1146ECDF}"/>
    <w:embedBold r:id="rId4" w:subsetted="1" w:fontKey="{D7D84047-5AFA-4E0E-99B8-9CEAD3689194}"/>
  </w:font>
  <w:font w:name="仿宋_GB2312">
    <w:altName w:val="微软雅黑"/>
    <w:charset w:val="86"/>
    <w:family w:val="modern"/>
    <w:pitch w:val="default"/>
    <w:sig w:usb0="00000000" w:usb1="00000000" w:usb2="00000010" w:usb3="00000000" w:csb0="00040000" w:csb1="00000000"/>
  </w:font>
  <w:font w:name="方正仿宋_GB2312">
    <w:charset w:val="86"/>
    <w:family w:val="auto"/>
    <w:pitch w:val="default"/>
    <w:sig w:usb0="A00002BF" w:usb1="184F6CFA" w:usb2="00000012"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20AA" w14:textId="77777777" w:rsidR="00B77779" w:rsidRDefault="00ED1BEC">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86508BA" w14:textId="77777777" w:rsidR="00B77779" w:rsidRDefault="00B7777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A4A0A" w14:textId="77777777" w:rsidR="00B77779" w:rsidRDefault="00ED1BEC">
    <w:pPr>
      <w:pStyle w:val="a6"/>
      <w:jc w:val="center"/>
    </w:pPr>
    <w:r>
      <w:rPr>
        <w:noProof/>
      </w:rPr>
      <mc:AlternateContent>
        <mc:Choice Requires="wps">
          <w:drawing>
            <wp:anchor distT="0" distB="0" distL="114300" distR="114300" simplePos="0" relativeHeight="251659264" behindDoc="0" locked="0" layoutInCell="1" allowOverlap="1" wp14:anchorId="1B5A10A7" wp14:editId="693D9C6D">
              <wp:simplePos x="0" y="0"/>
              <wp:positionH relativeFrom="margin">
                <wp:align>right</wp:align>
              </wp:positionH>
              <wp:positionV relativeFrom="paragraph">
                <wp:posOffset>0</wp:posOffset>
              </wp:positionV>
              <wp:extent cx="57785" cy="131445"/>
              <wp:effectExtent l="381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7BA6DF8E" w14:textId="77777777" w:rsidR="00B77779" w:rsidRDefault="00ED1BEC">
                          <w:pPr>
                            <w:pStyle w:val="a6"/>
                            <w:jc w:val="center"/>
                          </w:pPr>
                          <w:r>
                            <w:fldChar w:fldCharType="begin"/>
                          </w:r>
                          <w:r>
                            <w:instrText xml:space="preserve"> PAGE   \* MERGEFORMAT </w:instrText>
                          </w:r>
                          <w:r>
                            <w:fldChar w:fldCharType="separate"/>
                          </w:r>
                          <w:r>
                            <w:rPr>
                              <w:lang w:val="zh-CN"/>
                            </w:rPr>
                            <w:t>2</w:t>
                          </w:r>
                          <w:r>
                            <w:rPr>
                              <w:lang w:val="zh-CN"/>
                            </w:rPr>
                            <w:fldChar w:fldCharType="end"/>
                          </w:r>
                        </w:p>
                      </w:txbxContent>
                    </wps:txbx>
                    <wps:bodyPr rot="0" vert="horz" wrap="none" lIns="0" tIns="0" rIns="0" bIns="0" anchor="t" anchorCtr="0" upright="1">
                      <a:spAutoFit/>
                    </wps:bodyPr>
                  </wps:wsp>
                </a:graphicData>
              </a:graphic>
            </wp:anchor>
          </w:drawing>
        </mc:Choice>
        <mc:Fallback xmlns:wpsCustomData="http://www.wps.cn/officeDocument/2013/wpsCustomData">
          <w:pict>
            <v:shape id="文本框 2" o:spid="_x0000_s1026" o:spt="202" type="#_x0000_t202" style="position:absolute;left:0pt;margin-top:0pt;height:10.35pt;width:4.55pt;mso-position-horizontal:right;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L3UTQAAAAAgEAAA8AAAAAAAAAAQAgAAAAIgAAAGRycy9k&#10;b3ducmV2LnhtbFBLAQIUABQAAAAIAIdO4kAGTwbZCgIAAAEEAAAOAAAAAAAAAAEAIAAAAB8BAABk&#10;cnMvZTJvRG9jLnhtbFBLBQYAAAAABgAGAFkBAACbBQAAAAA=&#10;">
              <v:fill on="f" focussize="0,0"/>
              <v:stroke on="f"/>
              <v:imagedata o:title=""/>
              <o:lock v:ext="edit" aspectratio="f"/>
              <v:textbox inset="0mm,0mm,0mm,0mm" style="mso-fit-shape-to-text:t;">
                <w:txbxContent>
                  <w:p>
                    <w:pPr>
                      <w:pStyle w:val="4"/>
                      <w:jc w:val="center"/>
                    </w:pPr>
                    <w:r>
                      <w:fldChar w:fldCharType="begin"/>
                    </w:r>
                    <w:r>
                      <w:instrText xml:space="preserve"> PAGE   \* MERGEFORMAT </w:instrText>
                    </w:r>
                    <w:r>
                      <w:fldChar w:fldCharType="separate"/>
                    </w:r>
                    <w:r>
                      <w:rPr>
                        <w:lang w:val="zh-CN"/>
                      </w:rPr>
                      <w:t>2</w:t>
                    </w:r>
                    <w:r>
                      <w:rPr>
                        <w:lang w:val="zh-CN"/>
                      </w:rPr>
                      <w:fldChar w:fldCharType="end"/>
                    </w:r>
                  </w:p>
                </w:txbxContent>
              </v:textbox>
            </v:shape>
          </w:pict>
        </mc:Fallback>
      </mc:AlternateContent>
    </w:r>
  </w:p>
  <w:p w14:paraId="21E748A9" w14:textId="77777777" w:rsidR="00B77779" w:rsidRDefault="00B7777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CC603" w14:textId="77777777" w:rsidR="00ED1BEC" w:rsidRDefault="00ED1BEC">
      <w:r>
        <w:separator/>
      </w:r>
    </w:p>
  </w:footnote>
  <w:footnote w:type="continuationSeparator" w:id="0">
    <w:p w14:paraId="1B10E76A" w14:textId="77777777" w:rsidR="00ED1BEC" w:rsidRDefault="00ED1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6587F"/>
    <w:multiLevelType w:val="multilevel"/>
    <w:tmpl w:val="35B6587F"/>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 w15:restartNumberingAfterBreak="0">
    <w:nsid w:val="77F372BB"/>
    <w:multiLevelType w:val="multilevel"/>
    <w:tmpl w:val="77F372BB"/>
    <w:lvl w:ilvl="0">
      <w:start w:val="1"/>
      <w:numFmt w:val="decimal"/>
      <w:lvlText w:val="%1."/>
      <w:lvlJc w:val="left"/>
      <w:pPr>
        <w:ind w:left="1200" w:hanging="360"/>
      </w:pPr>
      <w:rPr>
        <w:rFonts w:ascii="仿宋" w:eastAsia="仿宋" w:hAnsi="仿宋" w:cs="仿宋" w:hint="default"/>
        <w:b w:val="0"/>
        <w:bCs/>
        <w:sz w:val="32"/>
        <w:szCs w:val="32"/>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329"/>
    <w:rsid w:val="00005425"/>
    <w:rsid w:val="00070902"/>
    <w:rsid w:val="0016324F"/>
    <w:rsid w:val="002A2375"/>
    <w:rsid w:val="0032664E"/>
    <w:rsid w:val="00386B5F"/>
    <w:rsid w:val="003A4DD2"/>
    <w:rsid w:val="003F3329"/>
    <w:rsid w:val="00426CAB"/>
    <w:rsid w:val="004633B5"/>
    <w:rsid w:val="005C397B"/>
    <w:rsid w:val="006D3991"/>
    <w:rsid w:val="0075510B"/>
    <w:rsid w:val="00807E03"/>
    <w:rsid w:val="008D5C2F"/>
    <w:rsid w:val="00955E8C"/>
    <w:rsid w:val="00A463BC"/>
    <w:rsid w:val="00A6005B"/>
    <w:rsid w:val="00B77568"/>
    <w:rsid w:val="00B77779"/>
    <w:rsid w:val="00B91BA3"/>
    <w:rsid w:val="00C6310D"/>
    <w:rsid w:val="00CA2A0B"/>
    <w:rsid w:val="00CE72E5"/>
    <w:rsid w:val="00DB1940"/>
    <w:rsid w:val="00E35074"/>
    <w:rsid w:val="00ED1BEC"/>
    <w:rsid w:val="00F00617"/>
    <w:rsid w:val="05772532"/>
    <w:rsid w:val="09774B20"/>
    <w:rsid w:val="0A075FF3"/>
    <w:rsid w:val="0A621CB3"/>
    <w:rsid w:val="0C335F90"/>
    <w:rsid w:val="0CED3E3A"/>
    <w:rsid w:val="0D6215FA"/>
    <w:rsid w:val="12A83C5F"/>
    <w:rsid w:val="1A3176E3"/>
    <w:rsid w:val="1E327C8D"/>
    <w:rsid w:val="1E4C44D4"/>
    <w:rsid w:val="1F870D0E"/>
    <w:rsid w:val="214200D4"/>
    <w:rsid w:val="21C51B92"/>
    <w:rsid w:val="26376326"/>
    <w:rsid w:val="27DB2C7B"/>
    <w:rsid w:val="290327A4"/>
    <w:rsid w:val="2A881800"/>
    <w:rsid w:val="2B835524"/>
    <w:rsid w:val="2BB00A79"/>
    <w:rsid w:val="2E161F03"/>
    <w:rsid w:val="2E390208"/>
    <w:rsid w:val="30B326D4"/>
    <w:rsid w:val="32463654"/>
    <w:rsid w:val="33C16DA3"/>
    <w:rsid w:val="34E903A7"/>
    <w:rsid w:val="35D06456"/>
    <w:rsid w:val="38EF4100"/>
    <w:rsid w:val="39E36A29"/>
    <w:rsid w:val="3A337459"/>
    <w:rsid w:val="3C2C2542"/>
    <w:rsid w:val="3CC83691"/>
    <w:rsid w:val="3D596C9C"/>
    <w:rsid w:val="41024397"/>
    <w:rsid w:val="42162F1D"/>
    <w:rsid w:val="45BC3F05"/>
    <w:rsid w:val="46223C2F"/>
    <w:rsid w:val="491355CA"/>
    <w:rsid w:val="4E4C6276"/>
    <w:rsid w:val="5003024C"/>
    <w:rsid w:val="538A297B"/>
    <w:rsid w:val="54E76936"/>
    <w:rsid w:val="5CF3057C"/>
    <w:rsid w:val="5D48260C"/>
    <w:rsid w:val="5FCA73EF"/>
    <w:rsid w:val="6216709D"/>
    <w:rsid w:val="65A42FF8"/>
    <w:rsid w:val="65D860BF"/>
    <w:rsid w:val="670256DE"/>
    <w:rsid w:val="675D6BA1"/>
    <w:rsid w:val="675E6EDF"/>
    <w:rsid w:val="6B4E1099"/>
    <w:rsid w:val="6F36719E"/>
    <w:rsid w:val="6F641F88"/>
    <w:rsid w:val="72876CC4"/>
    <w:rsid w:val="755700C3"/>
    <w:rsid w:val="76256055"/>
    <w:rsid w:val="78B40AB1"/>
    <w:rsid w:val="7B720A75"/>
    <w:rsid w:val="7FE84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AC3452"/>
  <w15:docId w15:val="{4524CDC8-A8BB-4E4B-AA50-31459E4B9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1"/>
    <w:qFormat/>
    <w:pPr>
      <w:jc w:val="left"/>
    </w:pPr>
  </w:style>
  <w:style w:type="paragraph" w:styleId="a4">
    <w:name w:val="Balloon Text"/>
    <w:basedOn w:val="a"/>
    <w:link w:val="a5"/>
    <w:semiHidden/>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uiPriority w:val="9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widowControl/>
      <w:spacing w:before="100" w:beforeAutospacing="1" w:after="100" w:afterAutospacing="1"/>
      <w:jc w:val="left"/>
    </w:pPr>
    <w:rPr>
      <w:rFonts w:ascii="宋体" w:hAnsi="宋体" w:cs="宋体"/>
      <w:kern w:val="0"/>
      <w:sz w:val="24"/>
    </w:rPr>
  </w:style>
  <w:style w:type="character" w:styleId="ab">
    <w:name w:val="page number"/>
    <w:basedOn w:val="a0"/>
    <w:qFormat/>
  </w:style>
  <w:style w:type="character" w:styleId="ac">
    <w:name w:val="FollowedHyperlink"/>
    <w:qFormat/>
    <w:rPr>
      <w:color w:val="800080"/>
      <w:u w:val="single"/>
    </w:rPr>
  </w:style>
  <w:style w:type="character" w:styleId="ad">
    <w:name w:val="Hyperlink"/>
    <w:basedOn w:val="a0"/>
    <w:uiPriority w:val="99"/>
    <w:semiHidden/>
    <w:unhideWhenUsed/>
    <w:qFormat/>
    <w:rPr>
      <w:color w:val="0000FF"/>
      <w:u w:val="single"/>
    </w:rPr>
  </w:style>
  <w:style w:type="character" w:styleId="ae">
    <w:name w:val="annotation reference"/>
    <w:basedOn w:val="a0"/>
    <w:qFormat/>
    <w:rPr>
      <w:sz w:val="21"/>
      <w:szCs w:val="21"/>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paragraph" w:customStyle="1" w:styleId="af">
    <w:name w:val="段"/>
    <w:link w:val="Char"/>
    <w:qFormat/>
    <w:pPr>
      <w:autoSpaceDE w:val="0"/>
      <w:autoSpaceDN w:val="0"/>
      <w:ind w:firstLineChars="200" w:firstLine="200"/>
      <w:jc w:val="both"/>
    </w:pPr>
    <w:rPr>
      <w:rFonts w:ascii="宋体"/>
      <w:sz w:val="21"/>
    </w:rPr>
  </w:style>
  <w:style w:type="character" w:customStyle="1" w:styleId="Char">
    <w:name w:val="段 Char"/>
    <w:link w:val="af"/>
    <w:qFormat/>
    <w:rPr>
      <w:rFonts w:ascii="宋体" w:eastAsia="宋体" w:hAnsi="Times New Roman" w:cs="Times New Roman"/>
      <w:kern w:val="0"/>
      <w:szCs w:val="20"/>
    </w:rPr>
  </w:style>
  <w:style w:type="paragraph" w:customStyle="1" w:styleId="af0">
    <w:name w:val="一级条标题"/>
    <w:next w:val="af"/>
    <w:qFormat/>
    <w:pPr>
      <w:spacing w:beforeLines="50" w:afterLines="50"/>
      <w:outlineLvl w:val="2"/>
    </w:pPr>
    <w:rPr>
      <w:rFonts w:ascii="黑体" w:eastAsia="黑体"/>
      <w:sz w:val="21"/>
      <w:szCs w:val="21"/>
    </w:r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5">
    <w:name w:val="批注框文本 字符"/>
    <w:basedOn w:val="a0"/>
    <w:link w:val="a4"/>
    <w:semiHidden/>
    <w:qFormat/>
    <w:rPr>
      <w:rFonts w:ascii="Times New Roman" w:eastAsia="宋体" w:hAnsi="Times New Roman" w:cs="Times New Roman"/>
      <w:sz w:val="18"/>
      <w:szCs w:val="18"/>
    </w:rPr>
  </w:style>
  <w:style w:type="paragraph" w:styleId="af1">
    <w:name w:val="List Paragraph"/>
    <w:basedOn w:val="a"/>
    <w:uiPriority w:val="34"/>
    <w:qFormat/>
    <w:pPr>
      <w:ind w:firstLineChars="200" w:firstLine="420"/>
    </w:pPr>
  </w:style>
  <w:style w:type="paragraph" w:customStyle="1" w:styleId="af2">
    <w:name w:val="章标题"/>
    <w:next w:val="af"/>
    <w:qFormat/>
    <w:pPr>
      <w:spacing w:beforeLines="100" w:before="312" w:afterLines="100" w:after="312"/>
      <w:jc w:val="both"/>
      <w:outlineLvl w:val="1"/>
    </w:pPr>
    <w:rPr>
      <w:rFonts w:ascii="黑体" w:eastAsia="黑体"/>
      <w:sz w:val="21"/>
    </w:rPr>
  </w:style>
  <w:style w:type="paragraph" w:customStyle="1" w:styleId="af3">
    <w:name w:val="二级条标题"/>
    <w:basedOn w:val="af0"/>
    <w:next w:val="af"/>
    <w:qFormat/>
    <w:pPr>
      <w:spacing w:before="50" w:after="50"/>
      <w:ind w:left="425"/>
      <w:outlineLvl w:val="3"/>
    </w:pPr>
  </w:style>
  <w:style w:type="paragraph" w:customStyle="1" w:styleId="af4">
    <w:name w:val="二级无"/>
    <w:basedOn w:val="af3"/>
    <w:qFormat/>
    <w:pPr>
      <w:spacing w:beforeLines="0" w:before="0" w:afterLines="0" w:after="0"/>
    </w:pPr>
    <w:rPr>
      <w:rFonts w:ascii="宋体" w:eastAsia="宋体"/>
    </w:rPr>
  </w:style>
  <w:style w:type="character" w:customStyle="1" w:styleId="af5">
    <w:name w:val="批注文字 字符"/>
    <w:basedOn w:val="a0"/>
    <w:uiPriority w:val="99"/>
    <w:semiHidden/>
    <w:qFormat/>
    <w:rPr>
      <w:rFonts w:ascii="Times New Roman" w:eastAsia="宋体" w:hAnsi="Times New Roman" w:cs="Times New Roman"/>
      <w:szCs w:val="24"/>
    </w:rPr>
  </w:style>
  <w:style w:type="character" w:customStyle="1" w:styleId="1">
    <w:name w:val="批注文字 字符1"/>
    <w:basedOn w:val="a0"/>
    <w:link w:val="a3"/>
    <w:qFormat/>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5%86%8D%E5%88%86%E9%85%8D/1063725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5%88%9D%E6%AC%A1%E5%88%86%E9%85%8D/10637246" TargetMode="Externa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216BAD5B-05EB-4901-B2B2-AD31107782C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576</Words>
  <Characters>3286</Characters>
  <Application>Microsoft Office Word</Application>
  <DocSecurity>0</DocSecurity>
  <Lines>27</Lines>
  <Paragraphs>7</Paragraphs>
  <ScaleCrop>false</ScaleCrop>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lulu</dc:creator>
  <cp:lastModifiedBy>lulu</cp:lastModifiedBy>
  <cp:revision>2</cp:revision>
  <cp:lastPrinted>2021-06-21T02:45:00Z</cp:lastPrinted>
  <dcterms:created xsi:type="dcterms:W3CDTF">2021-10-26T03:23:00Z</dcterms:created>
  <dcterms:modified xsi:type="dcterms:W3CDTF">2021-10-26T03:23:00Z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59F6D3B739C54DD18E7556448F5909C1</vt:lpwstr>
  </property>
  <property fmtid="{D5CDD505-2E9C-101B-9397-08002B2CF9AE}" pid="4" name="KSOSaveFontToCloudKey">
    <vt:lpwstr>339446067_btnclosed</vt:lpwstr>
  </property>
</Properties>
</file>